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2409" w14:textId="195D2994" w:rsidR="006C21CD" w:rsidRPr="00B07225" w:rsidRDefault="006C21CD" w:rsidP="000C7302">
      <w:pPr>
        <w:jc w:val="both"/>
        <w:rPr>
          <w:rFonts w:ascii="Times New Roman" w:hAnsi="Times New Roman" w:cs="Times New Roman"/>
          <w:b/>
          <w:sz w:val="24"/>
          <w:szCs w:val="24"/>
        </w:rPr>
      </w:pPr>
    </w:p>
    <w:p w14:paraId="467FF85D" w14:textId="77777777" w:rsidR="006D0F5D" w:rsidRPr="00B07225" w:rsidRDefault="006D0F5D" w:rsidP="004E2FF3">
      <w:pPr>
        <w:jc w:val="both"/>
        <w:rPr>
          <w:rFonts w:ascii="Times New Roman" w:hAnsi="Times New Roman" w:cs="Times New Roman"/>
          <w:b/>
          <w:bCs/>
          <w:sz w:val="24"/>
          <w:szCs w:val="24"/>
        </w:rPr>
      </w:pPr>
    </w:p>
    <w:p w14:paraId="0E9E1CE2" w14:textId="3699D4A8" w:rsidR="004E2FF3" w:rsidRPr="00B07225" w:rsidRDefault="004E2FF3" w:rsidP="004E2FF3">
      <w:pPr>
        <w:jc w:val="both"/>
        <w:rPr>
          <w:rFonts w:ascii="Times New Roman" w:hAnsi="Times New Roman" w:cs="Times New Roman"/>
          <w:b/>
          <w:bCs/>
          <w:sz w:val="24"/>
          <w:szCs w:val="24"/>
        </w:rPr>
      </w:pPr>
      <w:r w:rsidRPr="00B07225">
        <w:rPr>
          <w:rFonts w:ascii="Times New Roman" w:hAnsi="Times New Roman" w:cs="Times New Roman"/>
          <w:b/>
          <w:bCs/>
          <w:sz w:val="24"/>
          <w:szCs w:val="24"/>
        </w:rPr>
        <w:t>JAVNA USTANOVA LUČKA UPRAVA SLAVONSKI BROD</w:t>
      </w:r>
    </w:p>
    <w:p w14:paraId="62C6C272" w14:textId="77777777"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Šetalište braće Radić 19a</w:t>
      </w:r>
    </w:p>
    <w:p w14:paraId="7E1E8007" w14:textId="77777777"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35000 Slavonski Brod</w:t>
      </w:r>
    </w:p>
    <w:p w14:paraId="73228CF8" w14:textId="77777777"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OIB 14562482156</w:t>
      </w:r>
    </w:p>
    <w:p w14:paraId="0F86ECD3" w14:textId="77777777" w:rsidR="004E2FF3" w:rsidRPr="00B07225" w:rsidRDefault="004E2FF3" w:rsidP="004E2FF3">
      <w:pPr>
        <w:jc w:val="both"/>
        <w:rPr>
          <w:rFonts w:ascii="Times New Roman" w:hAnsi="Times New Roman" w:cs="Times New Roman"/>
          <w:sz w:val="24"/>
          <w:szCs w:val="24"/>
        </w:rPr>
      </w:pPr>
      <w:r w:rsidRPr="00B07225">
        <w:rPr>
          <w:rFonts w:ascii="Times New Roman" w:hAnsi="Times New Roman" w:cs="Times New Roman"/>
          <w:sz w:val="24"/>
          <w:szCs w:val="24"/>
        </w:rPr>
        <w:t>RKP: 51263</w:t>
      </w:r>
    </w:p>
    <w:p w14:paraId="6659E1B1" w14:textId="48258204" w:rsidR="006C21CD" w:rsidRPr="00B07225" w:rsidRDefault="006C21CD" w:rsidP="000C7302">
      <w:pPr>
        <w:jc w:val="both"/>
        <w:rPr>
          <w:rFonts w:ascii="Times New Roman" w:hAnsi="Times New Roman" w:cs="Times New Roman"/>
          <w:b/>
          <w:sz w:val="24"/>
          <w:szCs w:val="24"/>
        </w:rPr>
      </w:pPr>
      <w:r w:rsidRPr="00BC416A">
        <w:rPr>
          <w:rFonts w:ascii="Times New Roman" w:hAnsi="Times New Roman" w:cs="Times New Roman"/>
          <w:b/>
          <w:sz w:val="24"/>
          <w:szCs w:val="24"/>
        </w:rPr>
        <w:t>RV-2</w:t>
      </w:r>
      <w:r w:rsidR="00176CAA" w:rsidRPr="00BC416A">
        <w:rPr>
          <w:rFonts w:ascii="Times New Roman" w:hAnsi="Times New Roman" w:cs="Times New Roman"/>
          <w:b/>
          <w:sz w:val="24"/>
          <w:szCs w:val="24"/>
        </w:rPr>
        <w:t>4</w:t>
      </w:r>
      <w:r w:rsidRPr="00BC416A">
        <w:rPr>
          <w:rFonts w:ascii="Times New Roman" w:hAnsi="Times New Roman" w:cs="Times New Roman"/>
          <w:b/>
          <w:sz w:val="24"/>
          <w:szCs w:val="24"/>
        </w:rPr>
        <w:t>-0</w:t>
      </w:r>
      <w:r w:rsidR="00402CF5" w:rsidRPr="00BC416A">
        <w:rPr>
          <w:rFonts w:ascii="Times New Roman" w:hAnsi="Times New Roman" w:cs="Times New Roman"/>
          <w:b/>
          <w:sz w:val="24"/>
          <w:szCs w:val="24"/>
        </w:rPr>
        <w:t>2</w:t>
      </w:r>
      <w:r w:rsidRPr="00BC416A">
        <w:rPr>
          <w:rFonts w:ascii="Times New Roman" w:hAnsi="Times New Roman" w:cs="Times New Roman"/>
          <w:b/>
          <w:sz w:val="24"/>
          <w:szCs w:val="24"/>
        </w:rPr>
        <w:t>/</w:t>
      </w:r>
      <w:r w:rsidR="00BC416A" w:rsidRPr="00BC416A">
        <w:rPr>
          <w:rFonts w:ascii="Times New Roman" w:hAnsi="Times New Roman" w:cs="Times New Roman"/>
          <w:b/>
          <w:sz w:val="24"/>
          <w:szCs w:val="24"/>
        </w:rPr>
        <w:t>35</w:t>
      </w:r>
    </w:p>
    <w:p w14:paraId="213432F2" w14:textId="77777777" w:rsidR="006C21CD" w:rsidRPr="00B07225" w:rsidRDefault="006C21CD" w:rsidP="000C7302">
      <w:pPr>
        <w:jc w:val="both"/>
        <w:rPr>
          <w:rFonts w:ascii="Times New Roman" w:hAnsi="Times New Roman" w:cs="Times New Roman"/>
          <w:b/>
          <w:sz w:val="24"/>
          <w:szCs w:val="24"/>
        </w:rPr>
      </w:pPr>
    </w:p>
    <w:p w14:paraId="6A933A1D" w14:textId="77777777" w:rsidR="006C21CD" w:rsidRPr="00B07225" w:rsidRDefault="006C21CD" w:rsidP="000C7302">
      <w:pPr>
        <w:jc w:val="both"/>
        <w:rPr>
          <w:rFonts w:ascii="Times New Roman" w:hAnsi="Times New Roman" w:cs="Times New Roman"/>
          <w:b/>
          <w:sz w:val="24"/>
          <w:szCs w:val="24"/>
        </w:rPr>
      </w:pPr>
    </w:p>
    <w:p w14:paraId="2D296053" w14:textId="77777777" w:rsidR="006C21CD" w:rsidRPr="00B07225" w:rsidRDefault="006C21CD" w:rsidP="000C7302">
      <w:pPr>
        <w:jc w:val="both"/>
        <w:rPr>
          <w:rFonts w:ascii="Times New Roman" w:hAnsi="Times New Roman" w:cs="Times New Roman"/>
          <w:b/>
          <w:sz w:val="24"/>
          <w:szCs w:val="24"/>
        </w:rPr>
      </w:pPr>
    </w:p>
    <w:p w14:paraId="1E0CDA83" w14:textId="77777777" w:rsidR="00727DA5" w:rsidRPr="00B07225" w:rsidRDefault="00727DA5" w:rsidP="000C7302">
      <w:pPr>
        <w:jc w:val="both"/>
        <w:rPr>
          <w:rFonts w:ascii="Times New Roman" w:hAnsi="Times New Roman" w:cs="Times New Roman"/>
          <w:b/>
          <w:sz w:val="24"/>
          <w:szCs w:val="24"/>
        </w:rPr>
      </w:pPr>
    </w:p>
    <w:p w14:paraId="2761184F" w14:textId="77777777" w:rsidR="006C21CD" w:rsidRPr="00B07225" w:rsidRDefault="006C21CD" w:rsidP="000C7302">
      <w:pPr>
        <w:jc w:val="both"/>
        <w:rPr>
          <w:rFonts w:ascii="Times New Roman" w:hAnsi="Times New Roman" w:cs="Times New Roman"/>
          <w:b/>
          <w:sz w:val="24"/>
          <w:szCs w:val="24"/>
        </w:rPr>
      </w:pPr>
    </w:p>
    <w:p w14:paraId="1EB76D1C" w14:textId="3667DEA1" w:rsidR="006C21CD" w:rsidRPr="00B07225" w:rsidRDefault="006C21CD" w:rsidP="000C7302">
      <w:pPr>
        <w:jc w:val="both"/>
        <w:rPr>
          <w:rFonts w:ascii="Times New Roman" w:hAnsi="Times New Roman" w:cs="Times New Roman"/>
          <w:b/>
          <w:sz w:val="24"/>
          <w:szCs w:val="24"/>
        </w:rPr>
      </w:pPr>
      <w:r w:rsidRPr="00B07225">
        <w:rPr>
          <w:rFonts w:ascii="Times New Roman" w:hAnsi="Times New Roman" w:cs="Times New Roman"/>
          <w:b/>
          <w:sz w:val="24"/>
          <w:szCs w:val="24"/>
        </w:rPr>
        <w:t xml:space="preserve"> </w:t>
      </w:r>
    </w:p>
    <w:p w14:paraId="51063DFB" w14:textId="77777777" w:rsidR="006C21CD" w:rsidRPr="00B07225" w:rsidRDefault="006C21CD" w:rsidP="000C7302">
      <w:pPr>
        <w:jc w:val="both"/>
        <w:rPr>
          <w:rFonts w:ascii="Times New Roman" w:hAnsi="Times New Roman" w:cs="Times New Roman"/>
          <w:b/>
          <w:sz w:val="24"/>
          <w:szCs w:val="24"/>
        </w:rPr>
      </w:pPr>
    </w:p>
    <w:p w14:paraId="7784AF4E" w14:textId="77777777" w:rsidR="006C21CD" w:rsidRPr="00B07225" w:rsidRDefault="006C21CD" w:rsidP="000C7302">
      <w:pPr>
        <w:jc w:val="both"/>
        <w:rPr>
          <w:rFonts w:ascii="Times New Roman" w:hAnsi="Times New Roman" w:cs="Times New Roman"/>
          <w:b/>
          <w:sz w:val="24"/>
          <w:szCs w:val="24"/>
        </w:rPr>
      </w:pPr>
    </w:p>
    <w:p w14:paraId="51CB1D5A" w14:textId="2E9F8DB1" w:rsidR="00910EBA" w:rsidRPr="00B07225" w:rsidRDefault="009E6B03" w:rsidP="003F6E61">
      <w:pPr>
        <w:jc w:val="center"/>
        <w:rPr>
          <w:rFonts w:ascii="Times New Roman" w:hAnsi="Times New Roman" w:cs="Times New Roman"/>
          <w:b/>
          <w:sz w:val="28"/>
          <w:szCs w:val="28"/>
        </w:rPr>
      </w:pPr>
      <w:r w:rsidRPr="00B07225">
        <w:rPr>
          <w:rFonts w:ascii="Times New Roman" w:hAnsi="Times New Roman" w:cs="Times New Roman"/>
          <w:b/>
          <w:sz w:val="28"/>
          <w:szCs w:val="28"/>
        </w:rPr>
        <w:t xml:space="preserve">GODIŠNJI </w:t>
      </w:r>
      <w:r w:rsidR="00E87299" w:rsidRPr="00B07225">
        <w:rPr>
          <w:rFonts w:ascii="Times New Roman" w:hAnsi="Times New Roman" w:cs="Times New Roman"/>
          <w:b/>
          <w:sz w:val="28"/>
          <w:szCs w:val="28"/>
        </w:rPr>
        <w:t>IZVJEŠTAJ O IZVRŠENJU</w:t>
      </w:r>
      <w:r w:rsidRPr="00B07225">
        <w:rPr>
          <w:rFonts w:ascii="Times New Roman" w:hAnsi="Times New Roman" w:cs="Times New Roman"/>
          <w:b/>
          <w:sz w:val="28"/>
          <w:szCs w:val="28"/>
        </w:rPr>
        <w:t xml:space="preserve"> </w:t>
      </w:r>
      <w:r w:rsidR="006C21CD" w:rsidRPr="00B07225">
        <w:rPr>
          <w:rFonts w:ascii="Times New Roman" w:hAnsi="Times New Roman" w:cs="Times New Roman"/>
          <w:b/>
          <w:sz w:val="28"/>
          <w:szCs w:val="28"/>
        </w:rPr>
        <w:t>FINANCIJSK</w:t>
      </w:r>
      <w:r w:rsidR="00E87299" w:rsidRPr="00B07225">
        <w:rPr>
          <w:rFonts w:ascii="Times New Roman" w:hAnsi="Times New Roman" w:cs="Times New Roman"/>
          <w:b/>
          <w:sz w:val="28"/>
          <w:szCs w:val="28"/>
        </w:rPr>
        <w:t>OG</w:t>
      </w:r>
      <w:r w:rsidR="006C21CD" w:rsidRPr="00B07225">
        <w:rPr>
          <w:rFonts w:ascii="Times New Roman" w:hAnsi="Times New Roman" w:cs="Times New Roman"/>
          <w:b/>
          <w:sz w:val="28"/>
          <w:szCs w:val="28"/>
        </w:rPr>
        <w:t xml:space="preserve"> PLAN</w:t>
      </w:r>
      <w:r w:rsidR="00E87299" w:rsidRPr="00B07225">
        <w:rPr>
          <w:rFonts w:ascii="Times New Roman" w:hAnsi="Times New Roman" w:cs="Times New Roman"/>
          <w:b/>
          <w:sz w:val="28"/>
          <w:szCs w:val="28"/>
        </w:rPr>
        <w:t>A</w:t>
      </w:r>
      <w:r w:rsidR="006C21CD" w:rsidRPr="00B07225">
        <w:rPr>
          <w:rFonts w:ascii="Times New Roman" w:hAnsi="Times New Roman" w:cs="Times New Roman"/>
          <w:b/>
          <w:sz w:val="28"/>
          <w:szCs w:val="28"/>
        </w:rPr>
        <w:t xml:space="preserve"> </w:t>
      </w:r>
    </w:p>
    <w:p w14:paraId="61AFE674" w14:textId="77777777" w:rsidR="00727DA5" w:rsidRPr="00B07225" w:rsidRDefault="00910EBA" w:rsidP="00727DA5">
      <w:pPr>
        <w:jc w:val="center"/>
        <w:rPr>
          <w:rFonts w:ascii="Times New Roman" w:hAnsi="Times New Roman" w:cs="Times New Roman"/>
          <w:b/>
          <w:sz w:val="28"/>
          <w:szCs w:val="28"/>
        </w:rPr>
      </w:pPr>
      <w:r w:rsidRPr="00B07225">
        <w:rPr>
          <w:rFonts w:ascii="Times New Roman" w:hAnsi="Times New Roman" w:cs="Times New Roman"/>
          <w:b/>
          <w:sz w:val="28"/>
          <w:szCs w:val="28"/>
        </w:rPr>
        <w:t xml:space="preserve">JAVNE USTANOVE </w:t>
      </w:r>
      <w:r w:rsidR="006C21CD" w:rsidRPr="00B07225">
        <w:rPr>
          <w:rFonts w:ascii="Times New Roman" w:hAnsi="Times New Roman" w:cs="Times New Roman"/>
          <w:b/>
          <w:sz w:val="28"/>
          <w:szCs w:val="28"/>
        </w:rPr>
        <w:t>LUČKE UPRAVE</w:t>
      </w:r>
      <w:r w:rsidRPr="00B07225">
        <w:rPr>
          <w:rFonts w:ascii="Times New Roman" w:hAnsi="Times New Roman" w:cs="Times New Roman"/>
          <w:b/>
          <w:sz w:val="28"/>
          <w:szCs w:val="28"/>
        </w:rPr>
        <w:t xml:space="preserve"> </w:t>
      </w:r>
      <w:r w:rsidR="006C21CD" w:rsidRPr="00B07225">
        <w:rPr>
          <w:rFonts w:ascii="Times New Roman" w:hAnsi="Times New Roman" w:cs="Times New Roman"/>
          <w:b/>
          <w:sz w:val="28"/>
          <w:szCs w:val="28"/>
        </w:rPr>
        <w:t>SLAVONSKI BROD</w:t>
      </w:r>
    </w:p>
    <w:p w14:paraId="79B1016D" w14:textId="16D33C7A" w:rsidR="006C21CD" w:rsidRPr="00B07225" w:rsidRDefault="006C21CD" w:rsidP="00727DA5">
      <w:pPr>
        <w:jc w:val="center"/>
        <w:rPr>
          <w:rFonts w:ascii="Times New Roman" w:hAnsi="Times New Roman" w:cs="Times New Roman"/>
          <w:b/>
          <w:sz w:val="28"/>
          <w:szCs w:val="28"/>
        </w:rPr>
      </w:pPr>
      <w:r w:rsidRPr="00B07225">
        <w:rPr>
          <w:rFonts w:ascii="Times New Roman" w:hAnsi="Times New Roman" w:cs="Times New Roman"/>
          <w:b/>
          <w:sz w:val="28"/>
          <w:szCs w:val="28"/>
        </w:rPr>
        <w:t>ZA 202</w:t>
      </w:r>
      <w:r w:rsidR="007A4BE0" w:rsidRPr="00B07225">
        <w:rPr>
          <w:rFonts w:ascii="Times New Roman" w:hAnsi="Times New Roman" w:cs="Times New Roman"/>
          <w:b/>
          <w:sz w:val="28"/>
          <w:szCs w:val="28"/>
        </w:rPr>
        <w:t>3</w:t>
      </w:r>
      <w:r w:rsidRPr="00B07225">
        <w:rPr>
          <w:rFonts w:ascii="Times New Roman" w:hAnsi="Times New Roman" w:cs="Times New Roman"/>
          <w:b/>
          <w:sz w:val="28"/>
          <w:szCs w:val="28"/>
        </w:rPr>
        <w:t>. GODIN</w:t>
      </w:r>
      <w:r w:rsidR="00176CAA" w:rsidRPr="00B07225">
        <w:rPr>
          <w:rFonts w:ascii="Times New Roman" w:hAnsi="Times New Roman" w:cs="Times New Roman"/>
          <w:b/>
          <w:sz w:val="28"/>
          <w:szCs w:val="28"/>
        </w:rPr>
        <w:t>U</w:t>
      </w:r>
    </w:p>
    <w:p w14:paraId="4875D0CD" w14:textId="77777777" w:rsidR="006C21CD" w:rsidRPr="00B07225" w:rsidRDefault="006C21CD" w:rsidP="000C7302">
      <w:pPr>
        <w:jc w:val="both"/>
        <w:rPr>
          <w:rFonts w:ascii="Times New Roman" w:hAnsi="Times New Roman" w:cs="Times New Roman"/>
          <w:b/>
          <w:sz w:val="24"/>
          <w:szCs w:val="24"/>
        </w:rPr>
      </w:pPr>
    </w:p>
    <w:p w14:paraId="6AD8339E" w14:textId="77777777" w:rsidR="006C21CD" w:rsidRPr="00B07225" w:rsidRDefault="006C21CD" w:rsidP="000C7302">
      <w:pPr>
        <w:jc w:val="both"/>
        <w:rPr>
          <w:rFonts w:ascii="Times New Roman" w:hAnsi="Times New Roman" w:cs="Times New Roman"/>
          <w:b/>
          <w:sz w:val="24"/>
          <w:szCs w:val="24"/>
        </w:rPr>
      </w:pPr>
    </w:p>
    <w:p w14:paraId="03412ADD" w14:textId="77777777" w:rsidR="006C21CD" w:rsidRPr="00B07225" w:rsidRDefault="006C21CD" w:rsidP="000C7302">
      <w:pPr>
        <w:jc w:val="both"/>
        <w:rPr>
          <w:rFonts w:ascii="Times New Roman" w:hAnsi="Times New Roman" w:cs="Times New Roman"/>
          <w:b/>
          <w:sz w:val="24"/>
          <w:szCs w:val="24"/>
        </w:rPr>
      </w:pPr>
    </w:p>
    <w:p w14:paraId="76161A80" w14:textId="77777777" w:rsidR="006C21CD" w:rsidRPr="00B07225" w:rsidRDefault="006C21CD" w:rsidP="000C7302">
      <w:pPr>
        <w:jc w:val="both"/>
        <w:rPr>
          <w:rFonts w:ascii="Times New Roman" w:hAnsi="Times New Roman" w:cs="Times New Roman"/>
          <w:b/>
          <w:sz w:val="24"/>
          <w:szCs w:val="24"/>
        </w:rPr>
      </w:pPr>
    </w:p>
    <w:p w14:paraId="4903A5E0" w14:textId="77777777" w:rsidR="006C21CD" w:rsidRPr="00B07225" w:rsidRDefault="006C21CD" w:rsidP="000C7302">
      <w:pPr>
        <w:jc w:val="both"/>
        <w:rPr>
          <w:rFonts w:ascii="Times New Roman" w:hAnsi="Times New Roman" w:cs="Times New Roman"/>
          <w:b/>
          <w:sz w:val="24"/>
          <w:szCs w:val="24"/>
        </w:rPr>
      </w:pPr>
    </w:p>
    <w:p w14:paraId="7E0E80D2" w14:textId="77777777" w:rsidR="006C21CD" w:rsidRPr="00B07225" w:rsidRDefault="006C21CD" w:rsidP="000C7302">
      <w:pPr>
        <w:jc w:val="both"/>
        <w:rPr>
          <w:rFonts w:ascii="Times New Roman" w:hAnsi="Times New Roman" w:cs="Times New Roman"/>
          <w:b/>
          <w:sz w:val="24"/>
          <w:szCs w:val="24"/>
        </w:rPr>
      </w:pPr>
    </w:p>
    <w:p w14:paraId="0D71036F" w14:textId="77777777" w:rsidR="006C21CD" w:rsidRPr="00B07225" w:rsidRDefault="006C21CD" w:rsidP="000C7302">
      <w:pPr>
        <w:jc w:val="both"/>
        <w:rPr>
          <w:rFonts w:ascii="Times New Roman" w:hAnsi="Times New Roman" w:cs="Times New Roman"/>
          <w:b/>
          <w:sz w:val="24"/>
          <w:szCs w:val="24"/>
        </w:rPr>
      </w:pPr>
    </w:p>
    <w:p w14:paraId="439D78A4" w14:textId="77777777" w:rsidR="006C21CD" w:rsidRPr="00B07225" w:rsidRDefault="006C21CD" w:rsidP="000C7302">
      <w:pPr>
        <w:jc w:val="both"/>
        <w:rPr>
          <w:rFonts w:ascii="Times New Roman" w:hAnsi="Times New Roman" w:cs="Times New Roman"/>
          <w:b/>
          <w:sz w:val="24"/>
          <w:szCs w:val="24"/>
        </w:rPr>
      </w:pPr>
    </w:p>
    <w:p w14:paraId="7D13AD3E" w14:textId="77777777" w:rsidR="00727DA5" w:rsidRPr="00B07225" w:rsidRDefault="00727DA5" w:rsidP="000C7302">
      <w:pPr>
        <w:jc w:val="both"/>
        <w:rPr>
          <w:rFonts w:ascii="Times New Roman" w:hAnsi="Times New Roman" w:cs="Times New Roman"/>
          <w:b/>
          <w:sz w:val="24"/>
          <w:szCs w:val="24"/>
        </w:rPr>
      </w:pPr>
    </w:p>
    <w:p w14:paraId="0B29F1B7" w14:textId="77777777" w:rsidR="006C21CD" w:rsidRPr="00B07225" w:rsidRDefault="006C21CD" w:rsidP="000C7302">
      <w:pPr>
        <w:jc w:val="both"/>
        <w:rPr>
          <w:rFonts w:ascii="Times New Roman" w:hAnsi="Times New Roman" w:cs="Times New Roman"/>
          <w:b/>
          <w:sz w:val="24"/>
          <w:szCs w:val="24"/>
        </w:rPr>
      </w:pPr>
    </w:p>
    <w:p w14:paraId="41738615" w14:textId="4FEC98C3" w:rsidR="006C21CD" w:rsidRPr="00B07225" w:rsidRDefault="006C21CD" w:rsidP="003F6E61">
      <w:pPr>
        <w:jc w:val="center"/>
        <w:rPr>
          <w:rFonts w:ascii="Times New Roman" w:hAnsi="Times New Roman" w:cs="Times New Roman"/>
          <w:b/>
          <w:sz w:val="24"/>
          <w:szCs w:val="24"/>
        </w:rPr>
      </w:pPr>
      <w:r w:rsidRPr="00B07225">
        <w:rPr>
          <w:rFonts w:ascii="Times New Roman" w:hAnsi="Times New Roman" w:cs="Times New Roman"/>
          <w:b/>
          <w:sz w:val="24"/>
          <w:szCs w:val="24"/>
        </w:rPr>
        <w:t xml:space="preserve">Slavonski Brod, </w:t>
      </w:r>
      <w:r w:rsidR="00176CAA" w:rsidRPr="00B07225">
        <w:rPr>
          <w:rFonts w:ascii="Times New Roman" w:hAnsi="Times New Roman" w:cs="Times New Roman"/>
          <w:b/>
          <w:sz w:val="24"/>
          <w:szCs w:val="24"/>
        </w:rPr>
        <w:t>1</w:t>
      </w:r>
      <w:r w:rsidR="00FC5BD7">
        <w:rPr>
          <w:rFonts w:ascii="Times New Roman" w:hAnsi="Times New Roman" w:cs="Times New Roman"/>
          <w:b/>
          <w:sz w:val="24"/>
          <w:szCs w:val="24"/>
        </w:rPr>
        <w:t>9</w:t>
      </w:r>
      <w:r w:rsidR="007035C4" w:rsidRPr="00B07225">
        <w:rPr>
          <w:rFonts w:ascii="Times New Roman" w:hAnsi="Times New Roman" w:cs="Times New Roman"/>
          <w:b/>
          <w:sz w:val="24"/>
          <w:szCs w:val="24"/>
        </w:rPr>
        <w:t>.0</w:t>
      </w:r>
      <w:r w:rsidR="00176CAA" w:rsidRPr="00B07225">
        <w:rPr>
          <w:rFonts w:ascii="Times New Roman" w:hAnsi="Times New Roman" w:cs="Times New Roman"/>
          <w:b/>
          <w:sz w:val="24"/>
          <w:szCs w:val="24"/>
        </w:rPr>
        <w:t>3</w:t>
      </w:r>
      <w:r w:rsidR="007035C4" w:rsidRPr="00B07225">
        <w:rPr>
          <w:rFonts w:ascii="Times New Roman" w:hAnsi="Times New Roman" w:cs="Times New Roman"/>
          <w:b/>
          <w:sz w:val="24"/>
          <w:szCs w:val="24"/>
        </w:rPr>
        <w:t>.</w:t>
      </w:r>
      <w:r w:rsidRPr="00B07225">
        <w:rPr>
          <w:rFonts w:ascii="Times New Roman" w:hAnsi="Times New Roman" w:cs="Times New Roman"/>
          <w:b/>
          <w:sz w:val="24"/>
          <w:szCs w:val="24"/>
        </w:rPr>
        <w:t>202</w:t>
      </w:r>
      <w:r w:rsidR="00176CAA" w:rsidRPr="00B07225">
        <w:rPr>
          <w:rFonts w:ascii="Times New Roman" w:hAnsi="Times New Roman" w:cs="Times New Roman"/>
          <w:b/>
          <w:sz w:val="24"/>
          <w:szCs w:val="24"/>
        </w:rPr>
        <w:t>4</w:t>
      </w:r>
      <w:r w:rsidRPr="00B07225">
        <w:rPr>
          <w:rFonts w:ascii="Times New Roman" w:hAnsi="Times New Roman" w:cs="Times New Roman"/>
          <w:b/>
          <w:sz w:val="24"/>
          <w:szCs w:val="24"/>
        </w:rPr>
        <w:t>. godine</w:t>
      </w:r>
    </w:p>
    <w:p w14:paraId="77E360D5" w14:textId="77777777" w:rsidR="006C21CD" w:rsidRPr="00B07225" w:rsidRDefault="006C21CD" w:rsidP="000C7302">
      <w:pPr>
        <w:jc w:val="both"/>
        <w:rPr>
          <w:rFonts w:ascii="Times New Roman" w:hAnsi="Times New Roman" w:cs="Times New Roman"/>
          <w:b/>
          <w:sz w:val="24"/>
          <w:szCs w:val="24"/>
        </w:rPr>
      </w:pPr>
    </w:p>
    <w:p w14:paraId="6906B780" w14:textId="77777777" w:rsidR="006C21CD" w:rsidRPr="00B07225" w:rsidRDefault="006C21CD" w:rsidP="00C73022">
      <w:pPr>
        <w:pStyle w:val="Tijeloteksta"/>
        <w:rPr>
          <w:b/>
          <w:bCs/>
          <w:u w:val="single"/>
        </w:rPr>
      </w:pPr>
      <w:r w:rsidRPr="00B07225">
        <w:rPr>
          <w:b/>
          <w:bCs/>
          <w:u w:val="single"/>
        </w:rPr>
        <w:t>SADRŽAJ:</w:t>
      </w:r>
    </w:p>
    <w:p w14:paraId="31D14460" w14:textId="77777777" w:rsidR="007403ED" w:rsidRPr="00B07225" w:rsidRDefault="007403ED" w:rsidP="00C73022">
      <w:pPr>
        <w:pStyle w:val="Tijeloteksta"/>
        <w:rPr>
          <w:b/>
          <w:bCs/>
          <w:u w:val="single"/>
        </w:rPr>
      </w:pPr>
    </w:p>
    <w:sdt>
      <w:sdtPr>
        <w:rPr>
          <w:rFonts w:ascii="Times New Roman" w:eastAsiaTheme="minorHAnsi" w:hAnsi="Times New Roman" w:cs="Times New Roman"/>
          <w:color w:val="auto"/>
          <w:sz w:val="24"/>
          <w:szCs w:val="24"/>
          <w:lang w:eastAsia="en-US"/>
        </w:rPr>
        <w:id w:val="142629461"/>
        <w:docPartObj>
          <w:docPartGallery w:val="Table of Contents"/>
          <w:docPartUnique/>
        </w:docPartObj>
      </w:sdtPr>
      <w:sdtEndPr>
        <w:rPr>
          <w:b/>
          <w:bCs/>
        </w:rPr>
      </w:sdtEndPr>
      <w:sdtContent>
        <w:p w14:paraId="06720622" w14:textId="192964AD" w:rsidR="007403ED" w:rsidRPr="00FC5BD7" w:rsidRDefault="007403ED">
          <w:pPr>
            <w:pStyle w:val="TOCNaslov"/>
            <w:rPr>
              <w:rFonts w:ascii="Times New Roman" w:hAnsi="Times New Roman" w:cs="Times New Roman"/>
              <w:color w:val="auto"/>
              <w:sz w:val="22"/>
              <w:szCs w:val="22"/>
              <w:u w:val="single"/>
            </w:rPr>
          </w:pPr>
        </w:p>
        <w:p w14:paraId="6AACCFAE" w14:textId="5FDBE3FB" w:rsidR="00DD6C51" w:rsidRPr="00FC5BD7" w:rsidRDefault="007403ED">
          <w:pPr>
            <w:pStyle w:val="Sadraj1"/>
            <w:tabs>
              <w:tab w:val="right" w:leader="dot" w:pos="9062"/>
            </w:tabs>
            <w:rPr>
              <w:rFonts w:ascii="Times New Roman" w:eastAsiaTheme="minorEastAsia" w:hAnsi="Times New Roman" w:cs="Times New Roman"/>
              <w:noProof/>
              <w:kern w:val="2"/>
              <w:lang w:eastAsia="hr-HR"/>
              <w14:ligatures w14:val="standardContextual"/>
            </w:rPr>
          </w:pPr>
          <w:r w:rsidRPr="00FC5BD7">
            <w:rPr>
              <w:rFonts w:ascii="Times New Roman" w:hAnsi="Times New Roman" w:cs="Times New Roman"/>
            </w:rPr>
            <w:fldChar w:fldCharType="begin"/>
          </w:r>
          <w:r w:rsidRPr="00FC5BD7">
            <w:rPr>
              <w:rFonts w:ascii="Times New Roman" w:hAnsi="Times New Roman" w:cs="Times New Roman"/>
            </w:rPr>
            <w:instrText xml:space="preserve"> TOC \o "1-3" \h \z \u </w:instrText>
          </w:r>
          <w:r w:rsidRPr="00FC5BD7">
            <w:rPr>
              <w:rFonts w:ascii="Times New Roman" w:hAnsi="Times New Roman" w:cs="Times New Roman"/>
            </w:rPr>
            <w:fldChar w:fldCharType="separate"/>
          </w:r>
          <w:hyperlink w:anchor="_Toc161740975" w:history="1">
            <w:r w:rsidR="00DD6C51" w:rsidRPr="00FC5BD7">
              <w:rPr>
                <w:rStyle w:val="Hiperveza"/>
                <w:rFonts w:ascii="Times New Roman" w:hAnsi="Times New Roman" w:cs="Times New Roman"/>
                <w:noProof/>
                <w:lang w:bidi="en-GB"/>
              </w:rPr>
              <w:t>1. OPĆI DIO</w:t>
            </w:r>
            <w:r w:rsidR="00DD6C51" w:rsidRPr="00FC5BD7">
              <w:rPr>
                <w:rFonts w:ascii="Times New Roman" w:hAnsi="Times New Roman" w:cs="Times New Roman"/>
                <w:noProof/>
                <w:webHidden/>
              </w:rPr>
              <w:tab/>
            </w:r>
            <w:r w:rsidR="00DD6C51" w:rsidRPr="00FC5BD7">
              <w:rPr>
                <w:rFonts w:ascii="Times New Roman" w:hAnsi="Times New Roman" w:cs="Times New Roman"/>
                <w:noProof/>
                <w:webHidden/>
              </w:rPr>
              <w:fldChar w:fldCharType="begin"/>
            </w:r>
            <w:r w:rsidR="00DD6C51" w:rsidRPr="00FC5BD7">
              <w:rPr>
                <w:rFonts w:ascii="Times New Roman" w:hAnsi="Times New Roman" w:cs="Times New Roman"/>
                <w:noProof/>
                <w:webHidden/>
              </w:rPr>
              <w:instrText xml:space="preserve"> PAGEREF _Toc161740975 \h </w:instrText>
            </w:r>
            <w:r w:rsidR="00DD6C51" w:rsidRPr="00FC5BD7">
              <w:rPr>
                <w:rFonts w:ascii="Times New Roman" w:hAnsi="Times New Roman" w:cs="Times New Roman"/>
                <w:noProof/>
                <w:webHidden/>
              </w:rPr>
            </w:r>
            <w:r w:rsidR="00DD6C51" w:rsidRPr="00FC5BD7">
              <w:rPr>
                <w:rFonts w:ascii="Times New Roman" w:hAnsi="Times New Roman" w:cs="Times New Roman"/>
                <w:noProof/>
                <w:webHidden/>
              </w:rPr>
              <w:fldChar w:fldCharType="separate"/>
            </w:r>
            <w:r w:rsidR="00FC5BD7">
              <w:rPr>
                <w:rFonts w:ascii="Times New Roman" w:hAnsi="Times New Roman" w:cs="Times New Roman"/>
                <w:noProof/>
                <w:webHidden/>
              </w:rPr>
              <w:t>3</w:t>
            </w:r>
            <w:r w:rsidR="00DD6C51" w:rsidRPr="00FC5BD7">
              <w:rPr>
                <w:rFonts w:ascii="Times New Roman" w:hAnsi="Times New Roman" w:cs="Times New Roman"/>
                <w:noProof/>
                <w:webHidden/>
              </w:rPr>
              <w:fldChar w:fldCharType="end"/>
            </w:r>
          </w:hyperlink>
        </w:p>
        <w:p w14:paraId="02A827C6" w14:textId="71D8FE63"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76" w:history="1">
            <w:r w:rsidRPr="00FC5BD7">
              <w:rPr>
                <w:rStyle w:val="Hiperveza"/>
                <w:rFonts w:ascii="Times New Roman" w:hAnsi="Times New Roman" w:cs="Times New Roman"/>
                <w:noProof/>
                <w:lang w:bidi="en-GB"/>
              </w:rPr>
              <w:t>1.1.  SAŽETAK RAČUNA PRIHODA I RASHODA I RAČUNA FINANCIRANJA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_Toc161740976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3</w:t>
            </w:r>
            <w:r w:rsidRPr="00FC5BD7">
              <w:rPr>
                <w:rFonts w:ascii="Times New Roman" w:hAnsi="Times New Roman" w:cs="Times New Roman"/>
                <w:noProof/>
                <w:webHidden/>
              </w:rPr>
              <w:fldChar w:fldCharType="end"/>
            </w:r>
          </w:hyperlink>
        </w:p>
        <w:p w14:paraId="080A7714" w14:textId="2B4A3871"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77" w:history="1">
            <w:r w:rsidRPr="00FC5BD7">
              <w:rPr>
                <w:rStyle w:val="Hiperveza"/>
                <w:rFonts w:ascii="Times New Roman" w:hAnsi="Times New Roman" w:cs="Times New Roman"/>
                <w:noProof/>
                <w:lang w:bidi="en-GB"/>
              </w:rPr>
              <w:t>1.2. RAČUN PRIHODA I RASHODA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_Toc161740977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4</w:t>
            </w:r>
            <w:r w:rsidRPr="00FC5BD7">
              <w:rPr>
                <w:rFonts w:ascii="Times New Roman" w:hAnsi="Times New Roman" w:cs="Times New Roman"/>
                <w:noProof/>
                <w:webHidden/>
              </w:rPr>
              <w:fldChar w:fldCharType="end"/>
            </w:r>
          </w:hyperlink>
        </w:p>
        <w:p w14:paraId="1486EAD3" w14:textId="6DE1E3F1"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78" w:history="1">
            <w:r w:rsidRPr="00FC5BD7">
              <w:rPr>
                <w:rStyle w:val="Hiperveza"/>
                <w:rFonts w:ascii="Times New Roman" w:hAnsi="Times New Roman" w:cs="Times New Roman"/>
                <w:noProof/>
                <w:lang w:bidi="en-GB"/>
              </w:rPr>
              <w:t>1.2.1. Izvještaj o prihodima i rashodima prema ekonomskoj klasifikaciji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_Toc161740978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4</w:t>
            </w:r>
            <w:r w:rsidRPr="00FC5BD7">
              <w:rPr>
                <w:rFonts w:ascii="Times New Roman" w:hAnsi="Times New Roman" w:cs="Times New Roman"/>
                <w:noProof/>
                <w:webHidden/>
              </w:rPr>
              <w:fldChar w:fldCharType="end"/>
            </w:r>
          </w:hyperlink>
        </w:p>
        <w:p w14:paraId="16EB5FBC" w14:textId="2CD47236"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79" w:history="1">
            <w:r w:rsidRPr="00FC5BD7">
              <w:rPr>
                <w:rStyle w:val="Hiperveza"/>
                <w:rFonts w:ascii="Times New Roman" w:hAnsi="Times New Roman" w:cs="Times New Roman"/>
                <w:noProof/>
                <w:lang w:bidi="en-GB"/>
              </w:rPr>
              <w:t>1.2.2. Izvještaj o prihodima i rashodima prema izvorima financiranja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_Toc161740979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6</w:t>
            </w:r>
            <w:r w:rsidRPr="00FC5BD7">
              <w:rPr>
                <w:rFonts w:ascii="Times New Roman" w:hAnsi="Times New Roman" w:cs="Times New Roman"/>
                <w:noProof/>
                <w:webHidden/>
              </w:rPr>
              <w:fldChar w:fldCharType="end"/>
            </w:r>
          </w:hyperlink>
        </w:p>
        <w:p w14:paraId="5EC477A3" w14:textId="2458219F"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0" w:history="1">
            <w:r w:rsidRPr="00FC5BD7">
              <w:rPr>
                <w:rStyle w:val="Hiperveza"/>
                <w:rFonts w:ascii="Times New Roman" w:hAnsi="Times New Roman" w:cs="Times New Roman"/>
                <w:noProof/>
                <w:lang w:bidi="en-GB"/>
              </w:rPr>
              <w:t>1.2.3. Izvještaj o rashodima prema funkcijskoj klasifikaciji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_Toc161740980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6</w:t>
            </w:r>
            <w:r w:rsidRPr="00FC5BD7">
              <w:rPr>
                <w:rFonts w:ascii="Times New Roman" w:hAnsi="Times New Roman" w:cs="Times New Roman"/>
                <w:noProof/>
                <w:webHidden/>
              </w:rPr>
              <w:fldChar w:fldCharType="end"/>
            </w:r>
          </w:hyperlink>
        </w:p>
        <w:p w14:paraId="322EA396" w14:textId="1DA3166F"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1" w:history="1">
            <w:r w:rsidRPr="00FC5BD7">
              <w:rPr>
                <w:rStyle w:val="Hiperveza"/>
                <w:rFonts w:ascii="Times New Roman" w:hAnsi="Times New Roman" w:cs="Times New Roman"/>
                <w:noProof/>
                <w:lang w:bidi="en-GB"/>
              </w:rPr>
              <w:t>1.3. RAČUN FINANCIRANJA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_Toc161740981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7</w:t>
            </w:r>
            <w:r w:rsidRPr="00FC5BD7">
              <w:rPr>
                <w:rFonts w:ascii="Times New Roman" w:hAnsi="Times New Roman" w:cs="Times New Roman"/>
                <w:noProof/>
                <w:webHidden/>
              </w:rPr>
              <w:fldChar w:fldCharType="end"/>
            </w:r>
          </w:hyperlink>
        </w:p>
        <w:p w14:paraId="42467AEC" w14:textId="6AC37734"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2" w:history="1">
            <w:r w:rsidRPr="00FC5BD7">
              <w:rPr>
                <w:rStyle w:val="Hiperveza"/>
                <w:rFonts w:ascii="Times New Roman" w:hAnsi="Times New Roman" w:cs="Times New Roman"/>
                <w:noProof/>
                <w:lang w:bidi="en-GB"/>
              </w:rPr>
              <w:t>1.3.1. Izvještaj računa financiranja prema ekonomskoj klasifikaciji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_Toc161740982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7</w:t>
            </w:r>
            <w:r w:rsidRPr="00FC5BD7">
              <w:rPr>
                <w:rFonts w:ascii="Times New Roman" w:hAnsi="Times New Roman" w:cs="Times New Roman"/>
                <w:noProof/>
                <w:webHidden/>
              </w:rPr>
              <w:fldChar w:fldCharType="end"/>
            </w:r>
          </w:hyperlink>
        </w:p>
        <w:p w14:paraId="24E689E0" w14:textId="724A6171"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3" w:history="1">
            <w:r w:rsidRPr="00FC5BD7">
              <w:rPr>
                <w:rStyle w:val="Hiperveza"/>
                <w:rFonts w:ascii="Times New Roman" w:hAnsi="Times New Roman" w:cs="Times New Roman"/>
                <w:noProof/>
                <w:lang w:bidi="en-GB"/>
              </w:rPr>
              <w:t>1.3.2. Izvještaj računa financiranja prema izvorima financiranja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_Toc161740983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7</w:t>
            </w:r>
            <w:r w:rsidRPr="00FC5BD7">
              <w:rPr>
                <w:rFonts w:ascii="Times New Roman" w:hAnsi="Times New Roman" w:cs="Times New Roman"/>
                <w:noProof/>
                <w:webHidden/>
              </w:rPr>
              <w:fldChar w:fldCharType="end"/>
            </w:r>
          </w:hyperlink>
        </w:p>
        <w:p w14:paraId="3B441D8F" w14:textId="689F2BF3"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4" w:history="1">
            <w:r w:rsidRPr="00FC5BD7">
              <w:rPr>
                <w:rStyle w:val="Hiperveza"/>
                <w:rFonts w:ascii="Times New Roman" w:eastAsia="Times New Roman" w:hAnsi="Times New Roman" w:cs="Times New Roman"/>
                <w:noProof/>
                <w:lang w:val="en-GB" w:eastAsia="en-GB" w:bidi="en-GB"/>
              </w:rPr>
              <w:t>2. OBRAZLOŽENJE OPĆEG DIJELA GODIŠNJEG IZVJEŠTAJA O IZVRŠENJU FINANCIJSKOG PLANA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_Toc161740984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8</w:t>
            </w:r>
            <w:r w:rsidRPr="00FC5BD7">
              <w:rPr>
                <w:rFonts w:ascii="Times New Roman" w:hAnsi="Times New Roman" w:cs="Times New Roman"/>
                <w:noProof/>
                <w:webHidden/>
              </w:rPr>
              <w:fldChar w:fldCharType="end"/>
            </w:r>
          </w:hyperlink>
        </w:p>
        <w:p w14:paraId="3F2EBFDB" w14:textId="0A2857AB"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5" w:history="1">
            <w:r w:rsidRPr="00FC5BD7">
              <w:rPr>
                <w:rStyle w:val="Hiperveza"/>
                <w:rFonts w:ascii="Times New Roman" w:eastAsia="Times New Roman" w:hAnsi="Times New Roman" w:cs="Times New Roman"/>
                <w:noProof/>
                <w:lang w:val="en-GB" w:eastAsia="en-GB" w:bidi="en-GB"/>
              </w:rPr>
              <w:t>2.1. OBRAZLOŽENJE OSTVARENJA PRIHODA I RASHODA, PRIMITAKA I IZDATAKA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_Toc161740985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8</w:t>
            </w:r>
            <w:r w:rsidRPr="00FC5BD7">
              <w:rPr>
                <w:rFonts w:ascii="Times New Roman" w:hAnsi="Times New Roman" w:cs="Times New Roman"/>
                <w:noProof/>
                <w:webHidden/>
              </w:rPr>
              <w:fldChar w:fldCharType="end"/>
            </w:r>
          </w:hyperlink>
        </w:p>
        <w:p w14:paraId="7F830447" w14:textId="51FEA420"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6" w:history="1">
            <w:r w:rsidRPr="00FC5BD7">
              <w:rPr>
                <w:rStyle w:val="Hiperveza"/>
                <w:rFonts w:ascii="Times New Roman" w:eastAsia="Times New Roman" w:hAnsi="Times New Roman" w:cs="Times New Roman"/>
                <w:noProof/>
                <w:lang w:val="en-GB" w:eastAsia="en-GB" w:bidi="en-GB"/>
              </w:rPr>
              <w:t>2.1.1. Prihodi i primici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_Toc161740986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8</w:t>
            </w:r>
            <w:r w:rsidRPr="00FC5BD7">
              <w:rPr>
                <w:rFonts w:ascii="Times New Roman" w:hAnsi="Times New Roman" w:cs="Times New Roman"/>
                <w:noProof/>
                <w:webHidden/>
              </w:rPr>
              <w:fldChar w:fldCharType="end"/>
            </w:r>
          </w:hyperlink>
        </w:p>
        <w:p w14:paraId="6048222F" w14:textId="4CFF6545"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7" w:history="1">
            <w:r w:rsidRPr="00FC5BD7">
              <w:rPr>
                <w:rStyle w:val="Hiperveza"/>
                <w:rFonts w:ascii="Times New Roman" w:eastAsia="Times New Roman" w:hAnsi="Times New Roman" w:cs="Times New Roman"/>
                <w:noProof/>
                <w:lang w:val="en-GB" w:eastAsia="en-GB" w:bidi="en-GB"/>
              </w:rPr>
              <w:t>2.1.2. Rashodi i izdaci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_Toc161740987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9</w:t>
            </w:r>
            <w:r w:rsidRPr="00FC5BD7">
              <w:rPr>
                <w:rFonts w:ascii="Times New Roman" w:hAnsi="Times New Roman" w:cs="Times New Roman"/>
                <w:noProof/>
                <w:webHidden/>
              </w:rPr>
              <w:fldChar w:fldCharType="end"/>
            </w:r>
          </w:hyperlink>
        </w:p>
        <w:p w14:paraId="4A5451CB" w14:textId="41EA2669"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8" w:history="1">
            <w:r w:rsidRPr="00FC5BD7">
              <w:rPr>
                <w:rStyle w:val="Hiperveza"/>
                <w:rFonts w:ascii="Times New Roman" w:eastAsia="Times New Roman" w:hAnsi="Times New Roman" w:cs="Times New Roman"/>
                <w:noProof/>
                <w:lang w:val="en-GB" w:eastAsia="en-GB" w:bidi="en-GB"/>
              </w:rPr>
              <w:t>2.2. STANJE NOVČANIH SREDSTAVA NA RAČUNIMA NA POČETKU I NA KRAJU PRORAČUNSKE GODINE</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_Toc161740988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9</w:t>
            </w:r>
            <w:r w:rsidRPr="00FC5BD7">
              <w:rPr>
                <w:rFonts w:ascii="Times New Roman" w:hAnsi="Times New Roman" w:cs="Times New Roman"/>
                <w:noProof/>
                <w:webHidden/>
              </w:rPr>
              <w:fldChar w:fldCharType="end"/>
            </w:r>
          </w:hyperlink>
        </w:p>
        <w:p w14:paraId="1FD2C818" w14:textId="292028AC"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89" w:history="1">
            <w:r w:rsidRPr="00FC5BD7">
              <w:rPr>
                <w:rStyle w:val="Hiperveza"/>
                <w:rFonts w:ascii="Times New Roman" w:eastAsia="Times New Roman" w:hAnsi="Times New Roman" w:cs="Times New Roman"/>
                <w:noProof/>
                <w:lang w:val="en-GB" w:eastAsia="en-GB" w:bidi="en-GB"/>
              </w:rPr>
              <w:t>2.3. OBRAZLOŽENJE OSTVARENOG PRIJENOSA SREDSTAVA IZ PRETHODNE GODINE I PRIJENOSA SREDSTAVA U SLIJEDEĆE RAZDOBLJE</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_Toc161740989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10</w:t>
            </w:r>
            <w:r w:rsidRPr="00FC5BD7">
              <w:rPr>
                <w:rFonts w:ascii="Times New Roman" w:hAnsi="Times New Roman" w:cs="Times New Roman"/>
                <w:noProof/>
                <w:webHidden/>
              </w:rPr>
              <w:fldChar w:fldCharType="end"/>
            </w:r>
          </w:hyperlink>
        </w:p>
        <w:p w14:paraId="7452F10B" w14:textId="117B22EB"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0" w:history="1">
            <w:r w:rsidRPr="00FC5BD7">
              <w:rPr>
                <w:rStyle w:val="Hiperveza"/>
                <w:rFonts w:ascii="Times New Roman" w:hAnsi="Times New Roman" w:cs="Times New Roman"/>
                <w:noProof/>
                <w:lang w:bidi="en-GB"/>
              </w:rPr>
              <w:t>3. POSEBNI DIO</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_Toc161740990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11</w:t>
            </w:r>
            <w:r w:rsidRPr="00FC5BD7">
              <w:rPr>
                <w:rFonts w:ascii="Times New Roman" w:hAnsi="Times New Roman" w:cs="Times New Roman"/>
                <w:noProof/>
                <w:webHidden/>
              </w:rPr>
              <w:fldChar w:fldCharType="end"/>
            </w:r>
          </w:hyperlink>
        </w:p>
        <w:p w14:paraId="2CF63945" w14:textId="171C15E3"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1" w:history="1">
            <w:r w:rsidRPr="00FC5BD7">
              <w:rPr>
                <w:rStyle w:val="Hiperveza"/>
                <w:rFonts w:ascii="Times New Roman" w:hAnsi="Times New Roman" w:cs="Times New Roman"/>
                <w:noProof/>
                <w:lang w:bidi="en-GB"/>
              </w:rPr>
              <w:t>3.1. IZVJEŠTAJ PO PROGRAMSKOJ KLASIFIKACIJI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_Toc161740991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11</w:t>
            </w:r>
            <w:r w:rsidRPr="00FC5BD7">
              <w:rPr>
                <w:rFonts w:ascii="Times New Roman" w:hAnsi="Times New Roman" w:cs="Times New Roman"/>
                <w:noProof/>
                <w:webHidden/>
              </w:rPr>
              <w:fldChar w:fldCharType="end"/>
            </w:r>
          </w:hyperlink>
        </w:p>
        <w:p w14:paraId="7CFFD2B8" w14:textId="786A89FE"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2" w:history="1">
            <w:r w:rsidRPr="00FC5BD7">
              <w:rPr>
                <w:rStyle w:val="Hiperveza"/>
                <w:rFonts w:ascii="Times New Roman" w:hAnsi="Times New Roman" w:cs="Times New Roman"/>
                <w:noProof/>
                <w:lang w:bidi="en-GB"/>
              </w:rPr>
              <w:t>3.2. OBRAZLOŽENJE POSEBNOG DIJELA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_Toc161740992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13</w:t>
            </w:r>
            <w:r w:rsidRPr="00FC5BD7">
              <w:rPr>
                <w:rFonts w:ascii="Times New Roman" w:hAnsi="Times New Roman" w:cs="Times New Roman"/>
                <w:noProof/>
                <w:webHidden/>
              </w:rPr>
              <w:fldChar w:fldCharType="end"/>
            </w:r>
          </w:hyperlink>
        </w:p>
        <w:p w14:paraId="4F77AE4B" w14:textId="792D0E34"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6" w:history="1">
            <w:r w:rsidRPr="00FC5BD7">
              <w:rPr>
                <w:rStyle w:val="Hiperveza"/>
                <w:rFonts w:ascii="Times New Roman" w:hAnsi="Times New Roman" w:cs="Times New Roman"/>
                <w:noProof/>
                <w:lang w:bidi="en-GB"/>
              </w:rPr>
              <w:t>4. POSEBNI IZVJEŠTAJI</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_Toc161740996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20</w:t>
            </w:r>
            <w:r w:rsidRPr="00FC5BD7">
              <w:rPr>
                <w:rFonts w:ascii="Times New Roman" w:hAnsi="Times New Roman" w:cs="Times New Roman"/>
                <w:noProof/>
                <w:webHidden/>
              </w:rPr>
              <w:fldChar w:fldCharType="end"/>
            </w:r>
          </w:hyperlink>
        </w:p>
        <w:p w14:paraId="3D664F09" w14:textId="61DAC303"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7" w:history="1">
            <w:r w:rsidRPr="00FC5BD7">
              <w:rPr>
                <w:rStyle w:val="Hiperveza"/>
                <w:rFonts w:ascii="Times New Roman" w:hAnsi="Times New Roman" w:cs="Times New Roman"/>
                <w:noProof/>
                <w:lang w:bidi="en-GB"/>
              </w:rPr>
              <w:t>4.1. IZVJEŠTAJ O ZADUŽIVANJU NA DOMAĆEM I STRANOM TRŽIŠTU NOVCA I KAPITALA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_Toc161740997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20</w:t>
            </w:r>
            <w:r w:rsidRPr="00FC5BD7">
              <w:rPr>
                <w:rFonts w:ascii="Times New Roman" w:hAnsi="Times New Roman" w:cs="Times New Roman"/>
                <w:noProof/>
                <w:webHidden/>
              </w:rPr>
              <w:fldChar w:fldCharType="end"/>
            </w:r>
          </w:hyperlink>
        </w:p>
        <w:p w14:paraId="18F2D34E" w14:textId="3F6E2BF3"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8" w:history="1">
            <w:r w:rsidRPr="00FC5BD7">
              <w:rPr>
                <w:rStyle w:val="Hiperveza"/>
                <w:rFonts w:ascii="Times New Roman" w:hAnsi="Times New Roman" w:cs="Times New Roman"/>
                <w:noProof/>
                <w:lang w:bidi="en-GB"/>
              </w:rPr>
              <w:t>4.2. IZVJEŠTAJ O KORIŠTENJU SREDSTAVA FONDOVA EUROPSKE UNIJE</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_Toc161740998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20</w:t>
            </w:r>
            <w:r w:rsidRPr="00FC5BD7">
              <w:rPr>
                <w:rFonts w:ascii="Times New Roman" w:hAnsi="Times New Roman" w:cs="Times New Roman"/>
                <w:noProof/>
                <w:webHidden/>
              </w:rPr>
              <w:fldChar w:fldCharType="end"/>
            </w:r>
          </w:hyperlink>
        </w:p>
        <w:p w14:paraId="36A1124E" w14:textId="0114CCB1"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0999" w:history="1">
            <w:r w:rsidRPr="00FC5BD7">
              <w:rPr>
                <w:rStyle w:val="Hiperveza"/>
                <w:rFonts w:ascii="Times New Roman" w:hAnsi="Times New Roman" w:cs="Times New Roman"/>
                <w:noProof/>
                <w:lang w:bidi="en-GB"/>
              </w:rPr>
              <w:t>4.3. IZVJEŠTAJ O DANIM ZAJMOVIMA I POTRAŽIVANJIMA PO DANIM ZAJMOVIMA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_Toc161740999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20</w:t>
            </w:r>
            <w:r w:rsidRPr="00FC5BD7">
              <w:rPr>
                <w:rFonts w:ascii="Times New Roman" w:hAnsi="Times New Roman" w:cs="Times New Roman"/>
                <w:noProof/>
                <w:webHidden/>
              </w:rPr>
              <w:fldChar w:fldCharType="end"/>
            </w:r>
          </w:hyperlink>
        </w:p>
        <w:p w14:paraId="5C48124D" w14:textId="31C53C7E"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1000" w:history="1">
            <w:r w:rsidRPr="00FC5BD7">
              <w:rPr>
                <w:rStyle w:val="Hiperveza"/>
                <w:rFonts w:ascii="Times New Roman" w:hAnsi="Times New Roman" w:cs="Times New Roman"/>
                <w:noProof/>
                <w:lang w:bidi="en-GB"/>
              </w:rPr>
              <w:t>4.4. IZVJEŠTAJ O STANJU POTRAŽIVANJA I DOSPJELIH OBVEZA TE O STANJU POTENCIJALNIH OBVEZA PO OSNOVI SUDSKIH SPOROVA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_Toc161741000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20</w:t>
            </w:r>
            <w:r w:rsidRPr="00FC5BD7">
              <w:rPr>
                <w:rFonts w:ascii="Times New Roman" w:hAnsi="Times New Roman" w:cs="Times New Roman"/>
                <w:noProof/>
                <w:webHidden/>
              </w:rPr>
              <w:fldChar w:fldCharType="end"/>
            </w:r>
          </w:hyperlink>
        </w:p>
        <w:p w14:paraId="53F2F740" w14:textId="1F35438D" w:rsidR="00DD6C51" w:rsidRPr="00FC5BD7" w:rsidRDefault="00DD6C51">
          <w:pPr>
            <w:pStyle w:val="Sadraj1"/>
            <w:tabs>
              <w:tab w:val="right" w:leader="dot" w:pos="9062"/>
            </w:tabs>
            <w:rPr>
              <w:rFonts w:ascii="Times New Roman" w:eastAsiaTheme="minorEastAsia" w:hAnsi="Times New Roman" w:cs="Times New Roman"/>
              <w:noProof/>
              <w:kern w:val="2"/>
              <w:lang w:eastAsia="hr-HR"/>
              <w14:ligatures w14:val="standardContextual"/>
            </w:rPr>
          </w:pPr>
          <w:hyperlink w:anchor="_Toc161741001" w:history="1">
            <w:r w:rsidRPr="00FC5BD7">
              <w:rPr>
                <w:rStyle w:val="Hiperveza"/>
                <w:rFonts w:ascii="Times New Roman" w:hAnsi="Times New Roman" w:cs="Times New Roman"/>
                <w:noProof/>
                <w:lang w:bidi="en-GB"/>
              </w:rPr>
              <w:t>4.5. IZVJEŠTAJ O DANIM JAMSTVIMA I PLAĆANJIMA PO PROTESTIRANIM JAMSTVIMA</w:t>
            </w:r>
            <w:r w:rsidRPr="00FC5BD7">
              <w:rPr>
                <w:rFonts w:ascii="Times New Roman" w:hAnsi="Times New Roman" w:cs="Times New Roman"/>
                <w:noProof/>
                <w:webHidden/>
              </w:rPr>
              <w:tab/>
            </w:r>
            <w:r w:rsidRPr="00FC5BD7">
              <w:rPr>
                <w:rFonts w:ascii="Times New Roman" w:hAnsi="Times New Roman" w:cs="Times New Roman"/>
                <w:noProof/>
                <w:webHidden/>
              </w:rPr>
              <w:fldChar w:fldCharType="begin"/>
            </w:r>
            <w:r w:rsidRPr="00FC5BD7">
              <w:rPr>
                <w:rFonts w:ascii="Times New Roman" w:hAnsi="Times New Roman" w:cs="Times New Roman"/>
                <w:noProof/>
                <w:webHidden/>
              </w:rPr>
              <w:instrText xml:space="preserve"> PAGEREF _Toc161741001 \h </w:instrText>
            </w:r>
            <w:r w:rsidRPr="00FC5BD7">
              <w:rPr>
                <w:rFonts w:ascii="Times New Roman" w:hAnsi="Times New Roman" w:cs="Times New Roman"/>
                <w:noProof/>
                <w:webHidden/>
              </w:rPr>
            </w:r>
            <w:r w:rsidRPr="00FC5BD7">
              <w:rPr>
                <w:rFonts w:ascii="Times New Roman" w:hAnsi="Times New Roman" w:cs="Times New Roman"/>
                <w:noProof/>
                <w:webHidden/>
              </w:rPr>
              <w:fldChar w:fldCharType="separate"/>
            </w:r>
            <w:r w:rsidR="00FC5BD7">
              <w:rPr>
                <w:rFonts w:ascii="Times New Roman" w:hAnsi="Times New Roman" w:cs="Times New Roman"/>
                <w:noProof/>
                <w:webHidden/>
              </w:rPr>
              <w:t>20</w:t>
            </w:r>
            <w:r w:rsidRPr="00FC5BD7">
              <w:rPr>
                <w:rFonts w:ascii="Times New Roman" w:hAnsi="Times New Roman" w:cs="Times New Roman"/>
                <w:noProof/>
                <w:webHidden/>
              </w:rPr>
              <w:fldChar w:fldCharType="end"/>
            </w:r>
          </w:hyperlink>
        </w:p>
        <w:p w14:paraId="5F620BBC" w14:textId="2B0445F1" w:rsidR="007403ED" w:rsidRPr="00B07225" w:rsidRDefault="007403ED">
          <w:pPr>
            <w:rPr>
              <w:rFonts w:ascii="Times New Roman" w:hAnsi="Times New Roman" w:cs="Times New Roman"/>
              <w:sz w:val="24"/>
              <w:szCs w:val="24"/>
            </w:rPr>
          </w:pPr>
          <w:r w:rsidRPr="00FC5BD7">
            <w:rPr>
              <w:rFonts w:ascii="Times New Roman" w:hAnsi="Times New Roman" w:cs="Times New Roman"/>
            </w:rPr>
            <w:fldChar w:fldCharType="end"/>
          </w:r>
        </w:p>
      </w:sdtContent>
    </w:sdt>
    <w:p w14:paraId="01A9A49D" w14:textId="77777777" w:rsidR="00910EBA" w:rsidRDefault="00910EBA" w:rsidP="000C7302">
      <w:pPr>
        <w:jc w:val="both"/>
        <w:rPr>
          <w:rFonts w:ascii="Times New Roman" w:hAnsi="Times New Roman" w:cs="Times New Roman"/>
          <w:b/>
          <w:sz w:val="24"/>
          <w:szCs w:val="24"/>
        </w:rPr>
      </w:pPr>
    </w:p>
    <w:p w14:paraId="7EBA995E" w14:textId="77777777" w:rsidR="00B07225" w:rsidRDefault="00B07225" w:rsidP="000C7302">
      <w:pPr>
        <w:jc w:val="both"/>
        <w:rPr>
          <w:rFonts w:ascii="Times New Roman" w:hAnsi="Times New Roman" w:cs="Times New Roman"/>
          <w:b/>
          <w:sz w:val="24"/>
          <w:szCs w:val="24"/>
        </w:rPr>
      </w:pPr>
    </w:p>
    <w:p w14:paraId="798C9F26" w14:textId="77777777" w:rsidR="00B07225" w:rsidRPr="00B07225" w:rsidRDefault="00B07225" w:rsidP="000C7302">
      <w:pPr>
        <w:jc w:val="both"/>
        <w:rPr>
          <w:rFonts w:ascii="Times New Roman" w:hAnsi="Times New Roman" w:cs="Times New Roman"/>
          <w:b/>
          <w:sz w:val="24"/>
          <w:szCs w:val="24"/>
        </w:rPr>
      </w:pPr>
    </w:p>
    <w:p w14:paraId="5BF74959" w14:textId="47B670AF" w:rsidR="00DA52AA" w:rsidRPr="00B07225" w:rsidRDefault="00220DA5" w:rsidP="007403ED">
      <w:pPr>
        <w:pStyle w:val="Naslov1"/>
      </w:pPr>
      <w:bookmarkStart w:id="0" w:name="_Toc161740975"/>
      <w:r w:rsidRPr="00B07225">
        <w:lastRenderedPageBreak/>
        <w:t>1</w:t>
      </w:r>
      <w:r w:rsidR="009446F9" w:rsidRPr="00B07225">
        <w:t>. OPĆI DIO</w:t>
      </w:r>
      <w:bookmarkEnd w:id="0"/>
    </w:p>
    <w:p w14:paraId="2A0EF4D7" w14:textId="77777777" w:rsidR="009446F9" w:rsidRPr="00B07225" w:rsidRDefault="009446F9" w:rsidP="00DA52AA">
      <w:pPr>
        <w:jc w:val="both"/>
        <w:rPr>
          <w:rFonts w:ascii="Times New Roman" w:hAnsi="Times New Roman" w:cs="Times New Roman"/>
          <w:b/>
          <w:bCs/>
          <w:sz w:val="24"/>
          <w:szCs w:val="24"/>
        </w:rPr>
      </w:pPr>
    </w:p>
    <w:p w14:paraId="36517EF6" w14:textId="0CDBEBB3" w:rsidR="009446F9" w:rsidRPr="00B07225" w:rsidRDefault="00220DA5" w:rsidP="007403ED">
      <w:pPr>
        <w:pStyle w:val="Naslov1"/>
      </w:pPr>
      <w:bookmarkStart w:id="1" w:name="_Toc161740976"/>
      <w:r w:rsidRPr="00B07225">
        <w:t xml:space="preserve">1.1.  </w:t>
      </w:r>
      <w:r w:rsidR="009446F9" w:rsidRPr="00B07225">
        <w:t>SAŽETAK RAČUNA PRIHODA I RASHODA</w:t>
      </w:r>
      <w:r w:rsidRPr="00B07225">
        <w:t xml:space="preserve"> I RAČUNA FINANCIRANJA</w:t>
      </w:r>
      <w:bookmarkEnd w:id="1"/>
      <w:r w:rsidR="009446F9" w:rsidRPr="00B07225">
        <w:t xml:space="preserve"> </w:t>
      </w:r>
    </w:p>
    <w:p w14:paraId="21267C03" w14:textId="77777777" w:rsidR="007403ED" w:rsidRPr="00B07225" w:rsidRDefault="007403ED" w:rsidP="007403ED">
      <w:pPr>
        <w:pStyle w:val="Naslov1"/>
      </w:pPr>
    </w:p>
    <w:p w14:paraId="21524B84" w14:textId="5DE0E536" w:rsidR="00BE7456" w:rsidRPr="00B07225" w:rsidRDefault="002B2731" w:rsidP="00DA52AA">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699EA978" wp14:editId="4FC28D2A">
            <wp:extent cx="5760720" cy="4643120"/>
            <wp:effectExtent l="0" t="0" r="0" b="5080"/>
            <wp:docPr id="85696321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643120"/>
                    </a:xfrm>
                    <a:prstGeom prst="rect">
                      <a:avLst/>
                    </a:prstGeom>
                    <a:noFill/>
                    <a:ln>
                      <a:noFill/>
                    </a:ln>
                  </pic:spPr>
                </pic:pic>
              </a:graphicData>
            </a:graphic>
          </wp:inline>
        </w:drawing>
      </w:r>
    </w:p>
    <w:p w14:paraId="404D3B3D" w14:textId="61CD044C" w:rsidR="009446F9" w:rsidRPr="00B07225" w:rsidRDefault="009446F9" w:rsidP="00DA52AA">
      <w:pPr>
        <w:jc w:val="both"/>
        <w:rPr>
          <w:rFonts w:ascii="Times New Roman" w:hAnsi="Times New Roman" w:cs="Times New Roman"/>
          <w:b/>
          <w:bCs/>
          <w:sz w:val="24"/>
          <w:szCs w:val="24"/>
        </w:rPr>
      </w:pPr>
    </w:p>
    <w:p w14:paraId="625A851D" w14:textId="77777777" w:rsidR="009446F9" w:rsidRPr="00B07225" w:rsidRDefault="009446F9" w:rsidP="00DA52AA">
      <w:pPr>
        <w:jc w:val="both"/>
        <w:rPr>
          <w:rFonts w:ascii="Times New Roman" w:hAnsi="Times New Roman" w:cs="Times New Roman"/>
          <w:sz w:val="24"/>
          <w:szCs w:val="24"/>
        </w:rPr>
      </w:pPr>
    </w:p>
    <w:p w14:paraId="790E39BD" w14:textId="77777777" w:rsidR="00176CAA" w:rsidRPr="00B07225" w:rsidRDefault="00176CAA" w:rsidP="00DA52AA">
      <w:pPr>
        <w:jc w:val="both"/>
        <w:rPr>
          <w:rFonts w:ascii="Times New Roman" w:hAnsi="Times New Roman" w:cs="Times New Roman"/>
          <w:sz w:val="24"/>
          <w:szCs w:val="24"/>
        </w:rPr>
      </w:pPr>
    </w:p>
    <w:p w14:paraId="3B7D5647" w14:textId="77777777" w:rsidR="003D5209" w:rsidRPr="00B07225" w:rsidRDefault="003D5209" w:rsidP="00DA52AA">
      <w:pPr>
        <w:jc w:val="both"/>
        <w:rPr>
          <w:rFonts w:ascii="Times New Roman" w:hAnsi="Times New Roman" w:cs="Times New Roman"/>
          <w:sz w:val="24"/>
          <w:szCs w:val="24"/>
        </w:rPr>
      </w:pPr>
    </w:p>
    <w:p w14:paraId="625FB1BF" w14:textId="77777777" w:rsidR="003D5209" w:rsidRPr="00B07225" w:rsidRDefault="003D5209" w:rsidP="00DA52AA">
      <w:pPr>
        <w:jc w:val="both"/>
        <w:rPr>
          <w:rFonts w:ascii="Times New Roman" w:hAnsi="Times New Roman" w:cs="Times New Roman"/>
          <w:sz w:val="24"/>
          <w:szCs w:val="24"/>
        </w:rPr>
      </w:pPr>
    </w:p>
    <w:p w14:paraId="1C78C716" w14:textId="77777777" w:rsidR="003D5209" w:rsidRPr="00B07225" w:rsidRDefault="003D5209" w:rsidP="00DA52AA">
      <w:pPr>
        <w:jc w:val="both"/>
        <w:rPr>
          <w:rFonts w:ascii="Times New Roman" w:hAnsi="Times New Roman" w:cs="Times New Roman"/>
          <w:sz w:val="24"/>
          <w:szCs w:val="24"/>
        </w:rPr>
      </w:pPr>
    </w:p>
    <w:p w14:paraId="252C2D8D" w14:textId="77777777" w:rsidR="003D5209" w:rsidRDefault="003D5209" w:rsidP="00DA52AA">
      <w:pPr>
        <w:jc w:val="both"/>
        <w:rPr>
          <w:rFonts w:ascii="Times New Roman" w:hAnsi="Times New Roman" w:cs="Times New Roman"/>
          <w:sz w:val="24"/>
          <w:szCs w:val="24"/>
        </w:rPr>
      </w:pPr>
    </w:p>
    <w:p w14:paraId="7FA91454" w14:textId="77777777" w:rsidR="004C5D48" w:rsidRDefault="004C5D48" w:rsidP="00DA52AA">
      <w:pPr>
        <w:jc w:val="both"/>
        <w:rPr>
          <w:rFonts w:ascii="Times New Roman" w:hAnsi="Times New Roman" w:cs="Times New Roman"/>
          <w:sz w:val="24"/>
          <w:szCs w:val="24"/>
        </w:rPr>
      </w:pPr>
    </w:p>
    <w:p w14:paraId="3BD7CF9C" w14:textId="77777777" w:rsidR="004C5D48" w:rsidRPr="00B07225" w:rsidRDefault="004C5D48" w:rsidP="00DA52AA">
      <w:pPr>
        <w:jc w:val="both"/>
        <w:rPr>
          <w:rFonts w:ascii="Times New Roman" w:hAnsi="Times New Roman" w:cs="Times New Roman"/>
          <w:sz w:val="24"/>
          <w:szCs w:val="24"/>
        </w:rPr>
      </w:pPr>
    </w:p>
    <w:p w14:paraId="43E3F006" w14:textId="77777777" w:rsidR="003D5209" w:rsidRPr="00B07225" w:rsidRDefault="003D5209" w:rsidP="00DA52AA">
      <w:pPr>
        <w:jc w:val="both"/>
        <w:rPr>
          <w:rFonts w:ascii="Times New Roman" w:hAnsi="Times New Roman" w:cs="Times New Roman"/>
          <w:sz w:val="24"/>
          <w:szCs w:val="24"/>
        </w:rPr>
      </w:pPr>
    </w:p>
    <w:p w14:paraId="3C5442A7" w14:textId="77777777" w:rsidR="002B2731" w:rsidRPr="00B07225" w:rsidRDefault="002B2731" w:rsidP="00DA52AA">
      <w:pPr>
        <w:jc w:val="both"/>
        <w:rPr>
          <w:rFonts w:ascii="Times New Roman" w:hAnsi="Times New Roman" w:cs="Times New Roman"/>
          <w:sz w:val="24"/>
          <w:szCs w:val="24"/>
        </w:rPr>
      </w:pPr>
    </w:p>
    <w:p w14:paraId="5A69FA26" w14:textId="0CA7BF26" w:rsidR="007403ED" w:rsidRPr="00B07225" w:rsidRDefault="00220DA5" w:rsidP="00176CAA">
      <w:pPr>
        <w:pStyle w:val="Naslov1"/>
      </w:pPr>
      <w:bookmarkStart w:id="2" w:name="_Toc161740977"/>
      <w:r w:rsidRPr="00B07225">
        <w:lastRenderedPageBreak/>
        <w:t xml:space="preserve">1.2. </w:t>
      </w:r>
      <w:r w:rsidR="00BE7456" w:rsidRPr="00B07225">
        <w:t>RAČUN PRIHODA I RASHODA</w:t>
      </w:r>
      <w:bookmarkEnd w:id="2"/>
    </w:p>
    <w:p w14:paraId="71A1BC3E" w14:textId="7500E321" w:rsidR="007403ED" w:rsidRPr="00B07225" w:rsidRDefault="00220DA5" w:rsidP="00176CAA">
      <w:pPr>
        <w:pStyle w:val="Naslov1"/>
      </w:pPr>
      <w:bookmarkStart w:id="3" w:name="_Toc161740978"/>
      <w:r w:rsidRPr="00B07225">
        <w:t xml:space="preserve">1.2.1. </w:t>
      </w:r>
      <w:proofErr w:type="spellStart"/>
      <w:r w:rsidR="00F8553A" w:rsidRPr="00B07225">
        <w:t>Izvještaj</w:t>
      </w:r>
      <w:proofErr w:type="spellEnd"/>
      <w:r w:rsidR="00F8553A" w:rsidRPr="00B07225">
        <w:t xml:space="preserve"> o </w:t>
      </w:r>
      <w:proofErr w:type="spellStart"/>
      <w:r w:rsidR="00F8553A" w:rsidRPr="00B07225">
        <w:t>prihodima</w:t>
      </w:r>
      <w:proofErr w:type="spellEnd"/>
      <w:r w:rsidR="00F8553A" w:rsidRPr="00B07225">
        <w:t xml:space="preserve"> </w:t>
      </w:r>
      <w:proofErr w:type="spellStart"/>
      <w:r w:rsidR="00F8553A" w:rsidRPr="00B07225">
        <w:t>i</w:t>
      </w:r>
      <w:proofErr w:type="spellEnd"/>
      <w:r w:rsidR="00F8553A" w:rsidRPr="00B07225">
        <w:t xml:space="preserve"> </w:t>
      </w:r>
      <w:proofErr w:type="spellStart"/>
      <w:r w:rsidR="00F8553A" w:rsidRPr="00B07225">
        <w:t>rashodima</w:t>
      </w:r>
      <w:proofErr w:type="spellEnd"/>
      <w:r w:rsidR="00F8553A" w:rsidRPr="00B07225">
        <w:t xml:space="preserve"> prema </w:t>
      </w:r>
      <w:proofErr w:type="spellStart"/>
      <w:r w:rsidR="00F8553A" w:rsidRPr="00B07225">
        <w:t>ekonomskoj</w:t>
      </w:r>
      <w:proofErr w:type="spellEnd"/>
      <w:r w:rsidR="00F8553A" w:rsidRPr="00B07225">
        <w:t xml:space="preserve"> </w:t>
      </w:r>
      <w:proofErr w:type="spellStart"/>
      <w:r w:rsidR="00F8553A" w:rsidRPr="00B07225">
        <w:t>klasifikaciji</w:t>
      </w:r>
      <w:bookmarkEnd w:id="3"/>
      <w:proofErr w:type="spellEnd"/>
    </w:p>
    <w:p w14:paraId="0F14FFF2" w14:textId="00A9F7D7" w:rsidR="00BE7456" w:rsidRPr="00B07225" w:rsidRDefault="002B2731" w:rsidP="00DA52AA">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47E2FF6B" wp14:editId="36B2B0A5">
            <wp:extent cx="5362575" cy="8344167"/>
            <wp:effectExtent l="0" t="0" r="0" b="0"/>
            <wp:docPr id="30202201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8007" cy="8352619"/>
                    </a:xfrm>
                    <a:prstGeom prst="rect">
                      <a:avLst/>
                    </a:prstGeom>
                    <a:noFill/>
                    <a:ln>
                      <a:noFill/>
                    </a:ln>
                  </pic:spPr>
                </pic:pic>
              </a:graphicData>
            </a:graphic>
          </wp:inline>
        </w:drawing>
      </w:r>
    </w:p>
    <w:p w14:paraId="2AA65547" w14:textId="1FC71445" w:rsidR="002B2731" w:rsidRPr="00B07225" w:rsidRDefault="002B2731" w:rsidP="00DA52AA">
      <w:pPr>
        <w:jc w:val="both"/>
        <w:rPr>
          <w:rFonts w:ascii="Times New Roman" w:hAnsi="Times New Roman" w:cs="Times New Roman"/>
          <w:sz w:val="24"/>
          <w:szCs w:val="24"/>
        </w:rPr>
      </w:pPr>
      <w:r w:rsidRPr="00B07225">
        <w:rPr>
          <w:rFonts w:ascii="Times New Roman" w:hAnsi="Times New Roman" w:cs="Times New Roman"/>
          <w:noProof/>
        </w:rPr>
        <w:lastRenderedPageBreak/>
        <w:drawing>
          <wp:inline distT="0" distB="0" distL="0" distR="0" wp14:anchorId="06F75D4A" wp14:editId="540C97F3">
            <wp:extent cx="5760720" cy="4993640"/>
            <wp:effectExtent l="0" t="0" r="0" b="0"/>
            <wp:docPr id="153289767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993640"/>
                    </a:xfrm>
                    <a:prstGeom prst="rect">
                      <a:avLst/>
                    </a:prstGeom>
                    <a:noFill/>
                    <a:ln>
                      <a:noFill/>
                    </a:ln>
                  </pic:spPr>
                </pic:pic>
              </a:graphicData>
            </a:graphic>
          </wp:inline>
        </w:drawing>
      </w:r>
    </w:p>
    <w:p w14:paraId="38DDC759" w14:textId="77777777" w:rsidR="002B2731" w:rsidRPr="00B07225" w:rsidRDefault="002B2731" w:rsidP="00DA52AA">
      <w:pPr>
        <w:jc w:val="both"/>
        <w:rPr>
          <w:rFonts w:ascii="Times New Roman" w:hAnsi="Times New Roman" w:cs="Times New Roman"/>
          <w:sz w:val="24"/>
          <w:szCs w:val="24"/>
        </w:rPr>
      </w:pPr>
    </w:p>
    <w:p w14:paraId="2FFFCCF6" w14:textId="77777777" w:rsidR="002B2731" w:rsidRPr="00B07225" w:rsidRDefault="002B2731" w:rsidP="00DA52AA">
      <w:pPr>
        <w:jc w:val="both"/>
        <w:rPr>
          <w:rFonts w:ascii="Times New Roman" w:hAnsi="Times New Roman" w:cs="Times New Roman"/>
          <w:sz w:val="24"/>
          <w:szCs w:val="24"/>
        </w:rPr>
      </w:pPr>
    </w:p>
    <w:p w14:paraId="4E41F74B" w14:textId="77777777" w:rsidR="002B2731" w:rsidRPr="00B07225" w:rsidRDefault="002B2731" w:rsidP="00DA52AA">
      <w:pPr>
        <w:jc w:val="both"/>
        <w:rPr>
          <w:rFonts w:ascii="Times New Roman" w:hAnsi="Times New Roman" w:cs="Times New Roman"/>
          <w:sz w:val="24"/>
          <w:szCs w:val="24"/>
        </w:rPr>
      </w:pPr>
    </w:p>
    <w:p w14:paraId="2B5FE5D9" w14:textId="77777777" w:rsidR="002B2731" w:rsidRPr="00B07225" w:rsidRDefault="002B2731" w:rsidP="00DA52AA">
      <w:pPr>
        <w:jc w:val="both"/>
        <w:rPr>
          <w:rFonts w:ascii="Times New Roman" w:hAnsi="Times New Roman" w:cs="Times New Roman"/>
          <w:sz w:val="24"/>
          <w:szCs w:val="24"/>
        </w:rPr>
      </w:pPr>
    </w:p>
    <w:p w14:paraId="72AF0976" w14:textId="77777777" w:rsidR="002B2731" w:rsidRPr="00B07225" w:rsidRDefault="002B2731" w:rsidP="00DA52AA">
      <w:pPr>
        <w:jc w:val="both"/>
        <w:rPr>
          <w:rFonts w:ascii="Times New Roman" w:hAnsi="Times New Roman" w:cs="Times New Roman"/>
          <w:sz w:val="24"/>
          <w:szCs w:val="24"/>
        </w:rPr>
      </w:pPr>
    </w:p>
    <w:p w14:paraId="7C046435" w14:textId="77777777" w:rsidR="002B2731" w:rsidRPr="00B07225" w:rsidRDefault="002B2731" w:rsidP="00DA52AA">
      <w:pPr>
        <w:jc w:val="both"/>
        <w:rPr>
          <w:rFonts w:ascii="Times New Roman" w:hAnsi="Times New Roman" w:cs="Times New Roman"/>
          <w:sz w:val="24"/>
          <w:szCs w:val="24"/>
        </w:rPr>
      </w:pPr>
    </w:p>
    <w:p w14:paraId="5E99B385" w14:textId="77777777" w:rsidR="002B2731" w:rsidRPr="00B07225" w:rsidRDefault="002B2731" w:rsidP="00DA52AA">
      <w:pPr>
        <w:jc w:val="both"/>
        <w:rPr>
          <w:rFonts w:ascii="Times New Roman" w:hAnsi="Times New Roman" w:cs="Times New Roman"/>
          <w:sz w:val="24"/>
          <w:szCs w:val="24"/>
        </w:rPr>
      </w:pPr>
    </w:p>
    <w:p w14:paraId="337A21B7" w14:textId="77777777" w:rsidR="002B2731" w:rsidRPr="00B07225" w:rsidRDefault="002B2731" w:rsidP="00DA52AA">
      <w:pPr>
        <w:jc w:val="both"/>
        <w:rPr>
          <w:rFonts w:ascii="Times New Roman" w:hAnsi="Times New Roman" w:cs="Times New Roman"/>
          <w:sz w:val="24"/>
          <w:szCs w:val="24"/>
        </w:rPr>
      </w:pPr>
    </w:p>
    <w:p w14:paraId="70C70605" w14:textId="77777777" w:rsidR="002B2731" w:rsidRPr="00B07225" w:rsidRDefault="002B2731" w:rsidP="00DA52AA">
      <w:pPr>
        <w:jc w:val="both"/>
        <w:rPr>
          <w:rFonts w:ascii="Times New Roman" w:hAnsi="Times New Roman" w:cs="Times New Roman"/>
          <w:sz w:val="24"/>
          <w:szCs w:val="24"/>
        </w:rPr>
      </w:pPr>
    </w:p>
    <w:p w14:paraId="0C674FB9" w14:textId="77777777" w:rsidR="002B2731" w:rsidRPr="00B07225" w:rsidRDefault="002B2731" w:rsidP="00DA52AA">
      <w:pPr>
        <w:jc w:val="both"/>
        <w:rPr>
          <w:rFonts w:ascii="Times New Roman" w:hAnsi="Times New Roman" w:cs="Times New Roman"/>
          <w:sz w:val="24"/>
          <w:szCs w:val="24"/>
        </w:rPr>
      </w:pPr>
    </w:p>
    <w:p w14:paraId="41155945" w14:textId="77777777" w:rsidR="002B2731" w:rsidRPr="00B07225" w:rsidRDefault="002B2731" w:rsidP="00DA52AA">
      <w:pPr>
        <w:jc w:val="both"/>
        <w:rPr>
          <w:rFonts w:ascii="Times New Roman" w:hAnsi="Times New Roman" w:cs="Times New Roman"/>
          <w:sz w:val="24"/>
          <w:szCs w:val="24"/>
        </w:rPr>
      </w:pPr>
    </w:p>
    <w:p w14:paraId="6EB35E8E" w14:textId="77777777" w:rsidR="002B2731" w:rsidRPr="00B07225" w:rsidRDefault="002B2731" w:rsidP="00DA52AA">
      <w:pPr>
        <w:jc w:val="both"/>
        <w:rPr>
          <w:rFonts w:ascii="Times New Roman" w:hAnsi="Times New Roman" w:cs="Times New Roman"/>
          <w:sz w:val="24"/>
          <w:szCs w:val="24"/>
        </w:rPr>
      </w:pPr>
    </w:p>
    <w:p w14:paraId="15C4B8B0" w14:textId="77777777" w:rsidR="002B2731" w:rsidRPr="00B07225" w:rsidRDefault="002B2731" w:rsidP="00DA52AA">
      <w:pPr>
        <w:jc w:val="both"/>
        <w:rPr>
          <w:rFonts w:ascii="Times New Roman" w:hAnsi="Times New Roman" w:cs="Times New Roman"/>
          <w:sz w:val="24"/>
          <w:szCs w:val="24"/>
        </w:rPr>
      </w:pPr>
    </w:p>
    <w:p w14:paraId="59AF3B0F" w14:textId="62D29E89" w:rsidR="007403ED" w:rsidRPr="00B07225" w:rsidRDefault="00220DA5" w:rsidP="0065031F">
      <w:pPr>
        <w:pStyle w:val="Naslov1"/>
      </w:pPr>
      <w:bookmarkStart w:id="4" w:name="_Toc161740979"/>
      <w:r w:rsidRPr="00B07225">
        <w:lastRenderedPageBreak/>
        <w:t xml:space="preserve">1.2.2. </w:t>
      </w:r>
      <w:proofErr w:type="spellStart"/>
      <w:r w:rsidR="00F8553A" w:rsidRPr="00B07225">
        <w:t>Izvještaj</w:t>
      </w:r>
      <w:proofErr w:type="spellEnd"/>
      <w:r w:rsidR="00F8553A" w:rsidRPr="00B07225">
        <w:t xml:space="preserve"> o </w:t>
      </w:r>
      <w:proofErr w:type="spellStart"/>
      <w:r w:rsidR="00F8553A" w:rsidRPr="00B07225">
        <w:t>prihodima</w:t>
      </w:r>
      <w:proofErr w:type="spellEnd"/>
      <w:r w:rsidR="00F8553A" w:rsidRPr="00B07225">
        <w:t xml:space="preserve"> </w:t>
      </w:r>
      <w:proofErr w:type="spellStart"/>
      <w:r w:rsidR="00F8553A" w:rsidRPr="00B07225">
        <w:t>i</w:t>
      </w:r>
      <w:proofErr w:type="spellEnd"/>
      <w:r w:rsidR="00F8553A" w:rsidRPr="00B07225">
        <w:t xml:space="preserve"> </w:t>
      </w:r>
      <w:proofErr w:type="spellStart"/>
      <w:r w:rsidR="00F8553A" w:rsidRPr="00B07225">
        <w:t>rashodima</w:t>
      </w:r>
      <w:proofErr w:type="spellEnd"/>
      <w:r w:rsidR="00F8553A" w:rsidRPr="00B07225">
        <w:t xml:space="preserve"> </w:t>
      </w:r>
      <w:proofErr w:type="spellStart"/>
      <w:r w:rsidR="00F8553A" w:rsidRPr="00B07225">
        <w:t>prema</w:t>
      </w:r>
      <w:proofErr w:type="spellEnd"/>
      <w:r w:rsidR="00F8553A" w:rsidRPr="00B07225">
        <w:t xml:space="preserve"> </w:t>
      </w:r>
      <w:proofErr w:type="spellStart"/>
      <w:r w:rsidR="00F8553A" w:rsidRPr="00B07225">
        <w:t>izvorima</w:t>
      </w:r>
      <w:proofErr w:type="spellEnd"/>
      <w:r w:rsidR="00F8553A" w:rsidRPr="00B07225">
        <w:t xml:space="preserve"> </w:t>
      </w:r>
      <w:proofErr w:type="spellStart"/>
      <w:r w:rsidR="00F8553A" w:rsidRPr="00B07225">
        <w:t>financiranja</w:t>
      </w:r>
      <w:bookmarkEnd w:id="4"/>
      <w:proofErr w:type="spellEnd"/>
    </w:p>
    <w:p w14:paraId="298BBB84" w14:textId="77777777" w:rsidR="00510886" w:rsidRPr="00B07225" w:rsidRDefault="00510886" w:rsidP="0065031F">
      <w:pPr>
        <w:pStyle w:val="Naslov1"/>
      </w:pPr>
    </w:p>
    <w:p w14:paraId="26319343" w14:textId="77777777" w:rsidR="00510886" w:rsidRPr="00B07225" w:rsidRDefault="00510886" w:rsidP="0065031F">
      <w:pPr>
        <w:pStyle w:val="Naslov1"/>
      </w:pPr>
    </w:p>
    <w:p w14:paraId="0E0FD853" w14:textId="3EEECEBD" w:rsidR="00F8553A" w:rsidRPr="00B07225" w:rsidRDefault="002B2731" w:rsidP="00C20D09">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287F5BE1" wp14:editId="11B31F5E">
            <wp:extent cx="5760720" cy="4131945"/>
            <wp:effectExtent l="0" t="0" r="0" b="1905"/>
            <wp:docPr id="194015750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131945"/>
                    </a:xfrm>
                    <a:prstGeom prst="rect">
                      <a:avLst/>
                    </a:prstGeom>
                    <a:noFill/>
                    <a:ln>
                      <a:noFill/>
                    </a:ln>
                  </pic:spPr>
                </pic:pic>
              </a:graphicData>
            </a:graphic>
          </wp:inline>
        </w:drawing>
      </w:r>
    </w:p>
    <w:p w14:paraId="18519C2F" w14:textId="77777777" w:rsidR="00510886" w:rsidRPr="00B07225" w:rsidRDefault="00510886" w:rsidP="00C20D09">
      <w:pPr>
        <w:jc w:val="both"/>
        <w:rPr>
          <w:rFonts w:ascii="Times New Roman" w:hAnsi="Times New Roman" w:cs="Times New Roman"/>
          <w:sz w:val="24"/>
          <w:szCs w:val="24"/>
        </w:rPr>
      </w:pPr>
    </w:p>
    <w:p w14:paraId="7D489B36" w14:textId="626BF63E" w:rsidR="007403ED" w:rsidRPr="00B07225" w:rsidRDefault="00220DA5" w:rsidP="0065031F">
      <w:pPr>
        <w:pStyle w:val="Naslov1"/>
      </w:pPr>
      <w:bookmarkStart w:id="5" w:name="_Toc161740980"/>
      <w:r w:rsidRPr="00B07225">
        <w:t xml:space="preserve">1.2.3. </w:t>
      </w:r>
      <w:proofErr w:type="spellStart"/>
      <w:r w:rsidR="00F8553A" w:rsidRPr="00B07225">
        <w:t>Izvještaj</w:t>
      </w:r>
      <w:proofErr w:type="spellEnd"/>
      <w:r w:rsidR="00F8553A" w:rsidRPr="00B07225">
        <w:t xml:space="preserve"> o </w:t>
      </w:r>
      <w:proofErr w:type="spellStart"/>
      <w:r w:rsidR="00F8553A" w:rsidRPr="00B07225">
        <w:t>rashodima</w:t>
      </w:r>
      <w:proofErr w:type="spellEnd"/>
      <w:r w:rsidR="00F8553A" w:rsidRPr="00B07225">
        <w:t xml:space="preserve"> </w:t>
      </w:r>
      <w:proofErr w:type="spellStart"/>
      <w:r w:rsidR="00F8553A" w:rsidRPr="00B07225">
        <w:t>prema</w:t>
      </w:r>
      <w:proofErr w:type="spellEnd"/>
      <w:r w:rsidR="00F8553A" w:rsidRPr="00B07225">
        <w:t xml:space="preserve"> </w:t>
      </w:r>
      <w:proofErr w:type="spellStart"/>
      <w:r w:rsidR="00F8553A" w:rsidRPr="00B07225">
        <w:t>funkcijskoj</w:t>
      </w:r>
      <w:proofErr w:type="spellEnd"/>
      <w:r w:rsidR="00F8553A" w:rsidRPr="00B07225">
        <w:t xml:space="preserve"> </w:t>
      </w:r>
      <w:proofErr w:type="spellStart"/>
      <w:r w:rsidR="00F8553A" w:rsidRPr="00B07225">
        <w:t>klasifikaciji</w:t>
      </w:r>
      <w:bookmarkEnd w:id="5"/>
      <w:proofErr w:type="spellEnd"/>
    </w:p>
    <w:p w14:paraId="1CFDA6AC" w14:textId="77777777" w:rsidR="00510886" w:rsidRPr="00B07225" w:rsidRDefault="00510886" w:rsidP="0065031F">
      <w:pPr>
        <w:pStyle w:val="Naslov1"/>
      </w:pPr>
    </w:p>
    <w:p w14:paraId="1611E540" w14:textId="77777777" w:rsidR="00510886" w:rsidRPr="00B07225" w:rsidRDefault="00510886" w:rsidP="0065031F">
      <w:pPr>
        <w:pStyle w:val="Naslov1"/>
      </w:pPr>
    </w:p>
    <w:p w14:paraId="452A365C" w14:textId="0D0B0520" w:rsidR="00E03415" w:rsidRPr="00B07225" w:rsidRDefault="0054431B" w:rsidP="00E03415">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54174F37" wp14:editId="360F063B">
            <wp:extent cx="5760720" cy="1358265"/>
            <wp:effectExtent l="0" t="0" r="0" b="0"/>
            <wp:docPr id="1088235225"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358265"/>
                    </a:xfrm>
                    <a:prstGeom prst="rect">
                      <a:avLst/>
                    </a:prstGeom>
                    <a:noFill/>
                    <a:ln>
                      <a:noFill/>
                    </a:ln>
                  </pic:spPr>
                </pic:pic>
              </a:graphicData>
            </a:graphic>
          </wp:inline>
        </w:drawing>
      </w:r>
    </w:p>
    <w:p w14:paraId="632A17C8" w14:textId="77777777" w:rsidR="0065031F" w:rsidRPr="00B07225" w:rsidRDefault="0065031F" w:rsidP="00E03415">
      <w:pPr>
        <w:jc w:val="both"/>
        <w:rPr>
          <w:rFonts w:ascii="Times New Roman" w:hAnsi="Times New Roman" w:cs="Times New Roman"/>
          <w:sz w:val="24"/>
          <w:szCs w:val="24"/>
        </w:rPr>
      </w:pPr>
    </w:p>
    <w:p w14:paraId="17B3EFD2" w14:textId="77777777" w:rsidR="00510886" w:rsidRPr="00B07225" w:rsidRDefault="00510886" w:rsidP="00E03415">
      <w:pPr>
        <w:jc w:val="both"/>
        <w:rPr>
          <w:rFonts w:ascii="Times New Roman" w:hAnsi="Times New Roman" w:cs="Times New Roman"/>
          <w:sz w:val="24"/>
          <w:szCs w:val="24"/>
        </w:rPr>
      </w:pPr>
    </w:p>
    <w:p w14:paraId="65C85483" w14:textId="77777777" w:rsidR="00510886" w:rsidRPr="00B07225" w:rsidRDefault="00510886" w:rsidP="00E03415">
      <w:pPr>
        <w:jc w:val="both"/>
        <w:rPr>
          <w:rFonts w:ascii="Times New Roman" w:hAnsi="Times New Roman" w:cs="Times New Roman"/>
          <w:sz w:val="24"/>
          <w:szCs w:val="24"/>
        </w:rPr>
      </w:pPr>
    </w:p>
    <w:p w14:paraId="5F65892C" w14:textId="77777777" w:rsidR="00510886" w:rsidRPr="00B07225" w:rsidRDefault="00510886" w:rsidP="00E03415">
      <w:pPr>
        <w:jc w:val="both"/>
        <w:rPr>
          <w:rFonts w:ascii="Times New Roman" w:hAnsi="Times New Roman" w:cs="Times New Roman"/>
          <w:sz w:val="24"/>
          <w:szCs w:val="24"/>
        </w:rPr>
      </w:pPr>
    </w:p>
    <w:p w14:paraId="2C31FB97" w14:textId="77777777" w:rsidR="00510886" w:rsidRPr="00B07225" w:rsidRDefault="00510886" w:rsidP="00E03415">
      <w:pPr>
        <w:jc w:val="both"/>
        <w:rPr>
          <w:rFonts w:ascii="Times New Roman" w:hAnsi="Times New Roman" w:cs="Times New Roman"/>
          <w:sz w:val="24"/>
          <w:szCs w:val="24"/>
        </w:rPr>
      </w:pPr>
    </w:p>
    <w:p w14:paraId="2B19CD64" w14:textId="77777777" w:rsidR="0054431B" w:rsidRPr="00B07225" w:rsidRDefault="0054431B" w:rsidP="00E03415">
      <w:pPr>
        <w:jc w:val="both"/>
        <w:rPr>
          <w:rFonts w:ascii="Times New Roman" w:hAnsi="Times New Roman" w:cs="Times New Roman"/>
          <w:sz w:val="24"/>
          <w:szCs w:val="24"/>
        </w:rPr>
      </w:pPr>
    </w:p>
    <w:p w14:paraId="547C4A64" w14:textId="743C6FB0" w:rsidR="00220DA5" w:rsidRPr="00B07225" w:rsidRDefault="00220DA5" w:rsidP="007403ED">
      <w:pPr>
        <w:pStyle w:val="Naslov1"/>
      </w:pPr>
      <w:bookmarkStart w:id="6" w:name="_Toc161740981"/>
      <w:r w:rsidRPr="00B07225">
        <w:lastRenderedPageBreak/>
        <w:t>1.3. RAČUN FINANCIRANJA</w:t>
      </w:r>
      <w:bookmarkEnd w:id="6"/>
    </w:p>
    <w:p w14:paraId="323466A7" w14:textId="77777777" w:rsidR="007403ED" w:rsidRPr="00B07225" w:rsidRDefault="007403ED" w:rsidP="007403ED">
      <w:pPr>
        <w:pStyle w:val="Naslov1"/>
      </w:pPr>
    </w:p>
    <w:p w14:paraId="4AB76CDB" w14:textId="001FC188" w:rsidR="007403ED" w:rsidRPr="00B07225" w:rsidRDefault="00220DA5" w:rsidP="0065031F">
      <w:pPr>
        <w:pStyle w:val="Naslov1"/>
      </w:pPr>
      <w:bookmarkStart w:id="7" w:name="_Toc161740982"/>
      <w:r w:rsidRPr="00B07225">
        <w:t xml:space="preserve">1.3.1. </w:t>
      </w:r>
      <w:proofErr w:type="spellStart"/>
      <w:r w:rsidR="00F8553A" w:rsidRPr="00B07225">
        <w:t>Izvještaj</w:t>
      </w:r>
      <w:proofErr w:type="spellEnd"/>
      <w:r w:rsidR="00F8553A" w:rsidRPr="00B07225">
        <w:t xml:space="preserve"> </w:t>
      </w:r>
      <w:proofErr w:type="spellStart"/>
      <w:r w:rsidR="00F8553A" w:rsidRPr="00B07225">
        <w:t>računa</w:t>
      </w:r>
      <w:proofErr w:type="spellEnd"/>
      <w:r w:rsidR="00F8553A" w:rsidRPr="00B07225">
        <w:t xml:space="preserve"> </w:t>
      </w:r>
      <w:proofErr w:type="spellStart"/>
      <w:r w:rsidR="00F8553A" w:rsidRPr="00B07225">
        <w:t>financiranja</w:t>
      </w:r>
      <w:proofErr w:type="spellEnd"/>
      <w:r w:rsidR="00F8553A" w:rsidRPr="00B07225">
        <w:t xml:space="preserve"> </w:t>
      </w:r>
      <w:proofErr w:type="spellStart"/>
      <w:r w:rsidR="00F8553A" w:rsidRPr="00B07225">
        <w:t>prema</w:t>
      </w:r>
      <w:proofErr w:type="spellEnd"/>
      <w:r w:rsidR="00F8553A" w:rsidRPr="00B07225">
        <w:t xml:space="preserve"> </w:t>
      </w:r>
      <w:proofErr w:type="spellStart"/>
      <w:r w:rsidR="00F8553A" w:rsidRPr="00B07225">
        <w:t>ekonomskoj</w:t>
      </w:r>
      <w:proofErr w:type="spellEnd"/>
      <w:r w:rsidR="00F8553A" w:rsidRPr="00B07225">
        <w:t xml:space="preserve"> </w:t>
      </w:r>
      <w:proofErr w:type="spellStart"/>
      <w:r w:rsidR="00F8553A" w:rsidRPr="00B07225">
        <w:t>klasifikaciji</w:t>
      </w:r>
      <w:bookmarkEnd w:id="7"/>
      <w:proofErr w:type="spellEnd"/>
    </w:p>
    <w:p w14:paraId="508D51A1" w14:textId="77777777" w:rsidR="00510886" w:rsidRPr="00B07225" w:rsidRDefault="00510886" w:rsidP="0065031F">
      <w:pPr>
        <w:pStyle w:val="Naslov1"/>
      </w:pPr>
    </w:p>
    <w:p w14:paraId="2002A5FF" w14:textId="77777777" w:rsidR="00510886" w:rsidRPr="00B07225" w:rsidRDefault="00510886" w:rsidP="0065031F">
      <w:pPr>
        <w:pStyle w:val="Naslov1"/>
      </w:pPr>
    </w:p>
    <w:p w14:paraId="73551925" w14:textId="2CB99CE3" w:rsidR="000860C9" w:rsidRPr="00B07225" w:rsidRDefault="0054431B" w:rsidP="00DA52AA">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79F71221" wp14:editId="0B38B5E7">
            <wp:extent cx="5760720" cy="2684145"/>
            <wp:effectExtent l="0" t="0" r="0" b="1905"/>
            <wp:docPr id="147028861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684145"/>
                    </a:xfrm>
                    <a:prstGeom prst="rect">
                      <a:avLst/>
                    </a:prstGeom>
                    <a:noFill/>
                    <a:ln>
                      <a:noFill/>
                    </a:ln>
                  </pic:spPr>
                </pic:pic>
              </a:graphicData>
            </a:graphic>
          </wp:inline>
        </w:drawing>
      </w:r>
    </w:p>
    <w:p w14:paraId="3D98090B" w14:textId="77777777" w:rsidR="00510886" w:rsidRPr="00B07225" w:rsidRDefault="00510886" w:rsidP="00DA52AA">
      <w:pPr>
        <w:jc w:val="both"/>
        <w:rPr>
          <w:rFonts w:ascii="Times New Roman" w:hAnsi="Times New Roman" w:cs="Times New Roman"/>
          <w:sz w:val="24"/>
          <w:szCs w:val="24"/>
        </w:rPr>
      </w:pPr>
    </w:p>
    <w:p w14:paraId="33CAE30A" w14:textId="0F9BC3D9" w:rsidR="00220DA5" w:rsidRPr="00B07225" w:rsidRDefault="00220DA5" w:rsidP="007403ED">
      <w:pPr>
        <w:pStyle w:val="Naslov1"/>
      </w:pPr>
      <w:bookmarkStart w:id="8" w:name="_Toc161740983"/>
      <w:r w:rsidRPr="00B07225">
        <w:t xml:space="preserve">1.3.2. </w:t>
      </w:r>
      <w:proofErr w:type="spellStart"/>
      <w:r w:rsidR="00F8553A" w:rsidRPr="00B07225">
        <w:t>Izvještaj</w:t>
      </w:r>
      <w:proofErr w:type="spellEnd"/>
      <w:r w:rsidR="00F8553A" w:rsidRPr="00B07225">
        <w:t xml:space="preserve"> </w:t>
      </w:r>
      <w:proofErr w:type="spellStart"/>
      <w:r w:rsidR="00F8553A" w:rsidRPr="00B07225">
        <w:t>računa</w:t>
      </w:r>
      <w:proofErr w:type="spellEnd"/>
      <w:r w:rsidR="00F8553A" w:rsidRPr="00B07225">
        <w:t xml:space="preserve"> </w:t>
      </w:r>
      <w:proofErr w:type="spellStart"/>
      <w:r w:rsidR="00F8553A" w:rsidRPr="00B07225">
        <w:t>financiranja</w:t>
      </w:r>
      <w:proofErr w:type="spellEnd"/>
      <w:r w:rsidR="00F8553A" w:rsidRPr="00B07225">
        <w:t xml:space="preserve"> </w:t>
      </w:r>
      <w:proofErr w:type="spellStart"/>
      <w:r w:rsidR="00F8553A" w:rsidRPr="00B07225">
        <w:t>prema</w:t>
      </w:r>
      <w:proofErr w:type="spellEnd"/>
      <w:r w:rsidR="00F8553A" w:rsidRPr="00B07225">
        <w:t xml:space="preserve"> </w:t>
      </w:r>
      <w:proofErr w:type="spellStart"/>
      <w:r w:rsidR="00F8553A" w:rsidRPr="00B07225">
        <w:t>izvorima</w:t>
      </w:r>
      <w:proofErr w:type="spellEnd"/>
      <w:r w:rsidR="00F8553A" w:rsidRPr="00B07225">
        <w:t xml:space="preserve"> </w:t>
      </w:r>
      <w:proofErr w:type="spellStart"/>
      <w:r w:rsidR="00F8553A" w:rsidRPr="00B07225">
        <w:t>financiranja</w:t>
      </w:r>
      <w:bookmarkEnd w:id="8"/>
      <w:proofErr w:type="spellEnd"/>
    </w:p>
    <w:p w14:paraId="002705CC" w14:textId="77777777" w:rsidR="00510886" w:rsidRPr="00B07225" w:rsidRDefault="00510886" w:rsidP="007403ED">
      <w:pPr>
        <w:pStyle w:val="Naslov1"/>
      </w:pPr>
    </w:p>
    <w:p w14:paraId="0CA43EBB" w14:textId="77777777" w:rsidR="00510886" w:rsidRPr="00B07225" w:rsidRDefault="00510886" w:rsidP="007403ED">
      <w:pPr>
        <w:pStyle w:val="Naslov1"/>
      </w:pPr>
    </w:p>
    <w:p w14:paraId="1C9F91DD" w14:textId="180196A1" w:rsidR="009446F9" w:rsidRPr="00B07225" w:rsidRDefault="0054431B" w:rsidP="00DA52AA">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5021E069" wp14:editId="154EFF3B">
            <wp:extent cx="5760720" cy="1885315"/>
            <wp:effectExtent l="0" t="0" r="0" b="635"/>
            <wp:docPr id="2027274167"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885315"/>
                    </a:xfrm>
                    <a:prstGeom prst="rect">
                      <a:avLst/>
                    </a:prstGeom>
                    <a:noFill/>
                    <a:ln>
                      <a:noFill/>
                    </a:ln>
                  </pic:spPr>
                </pic:pic>
              </a:graphicData>
            </a:graphic>
          </wp:inline>
        </w:drawing>
      </w:r>
    </w:p>
    <w:p w14:paraId="3BD436C0" w14:textId="77777777" w:rsidR="00510886" w:rsidRPr="00B07225" w:rsidRDefault="00510886" w:rsidP="00DA52AA">
      <w:pPr>
        <w:jc w:val="both"/>
        <w:rPr>
          <w:rFonts w:ascii="Times New Roman" w:hAnsi="Times New Roman" w:cs="Times New Roman"/>
          <w:sz w:val="24"/>
          <w:szCs w:val="24"/>
        </w:rPr>
      </w:pPr>
    </w:p>
    <w:p w14:paraId="5DA92229" w14:textId="77777777" w:rsidR="00510886" w:rsidRPr="00B07225" w:rsidRDefault="00510886" w:rsidP="00DA52AA">
      <w:pPr>
        <w:jc w:val="both"/>
        <w:rPr>
          <w:rFonts w:ascii="Times New Roman" w:hAnsi="Times New Roman" w:cs="Times New Roman"/>
          <w:sz w:val="24"/>
          <w:szCs w:val="24"/>
        </w:rPr>
      </w:pPr>
    </w:p>
    <w:p w14:paraId="07B56376" w14:textId="77777777" w:rsidR="00510886" w:rsidRPr="00B07225" w:rsidRDefault="00510886" w:rsidP="00DA52AA">
      <w:pPr>
        <w:jc w:val="both"/>
        <w:rPr>
          <w:rFonts w:ascii="Times New Roman" w:hAnsi="Times New Roman" w:cs="Times New Roman"/>
          <w:sz w:val="24"/>
          <w:szCs w:val="24"/>
        </w:rPr>
      </w:pPr>
    </w:p>
    <w:p w14:paraId="741E25EC" w14:textId="77777777" w:rsidR="0054431B" w:rsidRPr="00B07225" w:rsidRDefault="0054431B" w:rsidP="00DA52AA">
      <w:pPr>
        <w:jc w:val="both"/>
        <w:rPr>
          <w:rFonts w:ascii="Times New Roman" w:hAnsi="Times New Roman" w:cs="Times New Roman"/>
          <w:sz w:val="24"/>
          <w:szCs w:val="24"/>
        </w:rPr>
      </w:pPr>
    </w:p>
    <w:p w14:paraId="7FA92660" w14:textId="77777777" w:rsidR="0054431B" w:rsidRPr="00B07225" w:rsidRDefault="0054431B" w:rsidP="00DA52AA">
      <w:pPr>
        <w:jc w:val="both"/>
        <w:rPr>
          <w:rFonts w:ascii="Times New Roman" w:hAnsi="Times New Roman" w:cs="Times New Roman"/>
          <w:sz w:val="24"/>
          <w:szCs w:val="24"/>
        </w:rPr>
      </w:pPr>
    </w:p>
    <w:p w14:paraId="07C7CDBB" w14:textId="77777777" w:rsidR="0054431B" w:rsidRPr="00B07225" w:rsidRDefault="0054431B" w:rsidP="00DA52AA">
      <w:pPr>
        <w:jc w:val="both"/>
        <w:rPr>
          <w:rFonts w:ascii="Times New Roman" w:hAnsi="Times New Roman" w:cs="Times New Roman"/>
          <w:sz w:val="24"/>
          <w:szCs w:val="24"/>
        </w:rPr>
      </w:pPr>
    </w:p>
    <w:p w14:paraId="27DF4B3D" w14:textId="77777777" w:rsidR="0054431B" w:rsidRPr="00B07225" w:rsidRDefault="0054431B" w:rsidP="00DA52AA">
      <w:pPr>
        <w:jc w:val="both"/>
        <w:rPr>
          <w:rFonts w:ascii="Times New Roman" w:hAnsi="Times New Roman" w:cs="Times New Roman"/>
          <w:sz w:val="24"/>
          <w:szCs w:val="24"/>
        </w:rPr>
      </w:pPr>
    </w:p>
    <w:p w14:paraId="0A1FA94B" w14:textId="77777777" w:rsidR="0054431B" w:rsidRPr="00B07225" w:rsidRDefault="0054431B" w:rsidP="00DA52AA">
      <w:pPr>
        <w:jc w:val="both"/>
        <w:rPr>
          <w:rFonts w:ascii="Times New Roman" w:hAnsi="Times New Roman" w:cs="Times New Roman"/>
          <w:sz w:val="24"/>
          <w:szCs w:val="24"/>
        </w:rPr>
      </w:pPr>
    </w:p>
    <w:p w14:paraId="5320A324"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9" w:name="_Toc161740984"/>
      <w:r w:rsidRPr="00234584">
        <w:rPr>
          <w:rFonts w:ascii="Times New Roman" w:eastAsia="Times New Roman" w:hAnsi="Times New Roman" w:cs="Times New Roman"/>
          <w:b/>
          <w:bCs/>
          <w:sz w:val="24"/>
          <w:szCs w:val="24"/>
          <w:lang w:val="en-GB" w:eastAsia="en-GB" w:bidi="en-GB"/>
        </w:rPr>
        <w:lastRenderedPageBreak/>
        <w:t>2. OBRAZLOŽENJE OPĆEG DIJELA GODIŠNJEG IZVJEŠTAJA O IZVRŠENJU FINANCIJSKOG PLANA</w:t>
      </w:r>
      <w:bookmarkEnd w:id="9"/>
    </w:p>
    <w:p w14:paraId="261F8355" w14:textId="77777777" w:rsidR="003C4D33" w:rsidRPr="00234584" w:rsidRDefault="003C4D33" w:rsidP="00B26639">
      <w:pPr>
        <w:jc w:val="both"/>
        <w:rPr>
          <w:rFonts w:ascii="Times New Roman" w:hAnsi="Times New Roman" w:cs="Times New Roman"/>
          <w:b/>
          <w:bCs/>
          <w:sz w:val="24"/>
          <w:szCs w:val="24"/>
        </w:rPr>
      </w:pPr>
    </w:p>
    <w:p w14:paraId="21FE12E5"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0" w:name="_Toc161740985"/>
      <w:r w:rsidRPr="00234584">
        <w:rPr>
          <w:rFonts w:ascii="Times New Roman" w:eastAsia="Times New Roman" w:hAnsi="Times New Roman" w:cs="Times New Roman"/>
          <w:b/>
          <w:bCs/>
          <w:sz w:val="24"/>
          <w:szCs w:val="24"/>
          <w:lang w:val="en-GB" w:eastAsia="en-GB" w:bidi="en-GB"/>
        </w:rPr>
        <w:t>2.1. OBRAZLOŽENJE OSTVARENJA PRIHODA I RASHODA, PRIMITAKA I IZDATAKA</w:t>
      </w:r>
      <w:bookmarkEnd w:id="10"/>
    </w:p>
    <w:p w14:paraId="2B27ABD1"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2BF7357D"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1" w:name="_Toc161740986"/>
      <w:r w:rsidRPr="00234584">
        <w:rPr>
          <w:rFonts w:ascii="Times New Roman" w:eastAsia="Times New Roman" w:hAnsi="Times New Roman" w:cs="Times New Roman"/>
          <w:b/>
          <w:bCs/>
          <w:sz w:val="24"/>
          <w:szCs w:val="24"/>
          <w:lang w:val="en-GB" w:eastAsia="en-GB" w:bidi="en-GB"/>
        </w:rPr>
        <w:t xml:space="preserve">2.1.1. </w:t>
      </w:r>
      <w:proofErr w:type="spellStart"/>
      <w:r w:rsidRPr="00234584">
        <w:rPr>
          <w:rFonts w:ascii="Times New Roman" w:eastAsia="Times New Roman" w:hAnsi="Times New Roman" w:cs="Times New Roman"/>
          <w:b/>
          <w:bCs/>
          <w:sz w:val="24"/>
          <w:szCs w:val="24"/>
          <w:lang w:val="en-GB" w:eastAsia="en-GB" w:bidi="en-GB"/>
        </w:rPr>
        <w:t>Prihodi</w:t>
      </w:r>
      <w:proofErr w:type="spellEnd"/>
      <w:r w:rsidRPr="00234584">
        <w:rPr>
          <w:rFonts w:ascii="Times New Roman" w:eastAsia="Times New Roman" w:hAnsi="Times New Roman" w:cs="Times New Roman"/>
          <w:b/>
          <w:bCs/>
          <w:sz w:val="24"/>
          <w:szCs w:val="24"/>
          <w:lang w:val="en-GB" w:eastAsia="en-GB" w:bidi="en-GB"/>
        </w:rPr>
        <w:t xml:space="preserve"> </w:t>
      </w:r>
      <w:proofErr w:type="spellStart"/>
      <w:r w:rsidRPr="00234584">
        <w:rPr>
          <w:rFonts w:ascii="Times New Roman" w:eastAsia="Times New Roman" w:hAnsi="Times New Roman" w:cs="Times New Roman"/>
          <w:b/>
          <w:bCs/>
          <w:sz w:val="24"/>
          <w:szCs w:val="24"/>
          <w:lang w:val="en-GB" w:eastAsia="en-GB" w:bidi="en-GB"/>
        </w:rPr>
        <w:t>i</w:t>
      </w:r>
      <w:proofErr w:type="spellEnd"/>
      <w:r w:rsidRPr="00234584">
        <w:rPr>
          <w:rFonts w:ascii="Times New Roman" w:eastAsia="Times New Roman" w:hAnsi="Times New Roman" w:cs="Times New Roman"/>
          <w:b/>
          <w:bCs/>
          <w:sz w:val="24"/>
          <w:szCs w:val="24"/>
          <w:lang w:val="en-GB" w:eastAsia="en-GB" w:bidi="en-GB"/>
        </w:rPr>
        <w:t xml:space="preserve"> </w:t>
      </w:r>
      <w:proofErr w:type="spellStart"/>
      <w:r w:rsidRPr="00234584">
        <w:rPr>
          <w:rFonts w:ascii="Times New Roman" w:eastAsia="Times New Roman" w:hAnsi="Times New Roman" w:cs="Times New Roman"/>
          <w:b/>
          <w:bCs/>
          <w:sz w:val="24"/>
          <w:szCs w:val="24"/>
          <w:lang w:val="en-GB" w:eastAsia="en-GB" w:bidi="en-GB"/>
        </w:rPr>
        <w:t>primici</w:t>
      </w:r>
      <w:bookmarkEnd w:id="11"/>
      <w:proofErr w:type="spellEnd"/>
    </w:p>
    <w:p w14:paraId="45CBB79A" w14:textId="77777777" w:rsidR="003C4D33" w:rsidRPr="00234584" w:rsidRDefault="003C4D33" w:rsidP="00B26639">
      <w:pPr>
        <w:jc w:val="both"/>
        <w:rPr>
          <w:rFonts w:ascii="Times New Roman" w:hAnsi="Times New Roman" w:cs="Times New Roman"/>
          <w:sz w:val="24"/>
          <w:szCs w:val="24"/>
        </w:rPr>
      </w:pPr>
    </w:p>
    <w:p w14:paraId="334F7BD1" w14:textId="77777777" w:rsidR="003C4D33" w:rsidRPr="00234584"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Javna ustanova Lučka uprava Slavonski Brod ostvarila je u razdoblju 01.01.-31.12.2023. godine ukupne prihode u iznosu od 4.885.417,71 </w:t>
      </w:r>
      <w:r>
        <w:rPr>
          <w:rFonts w:ascii="Times New Roman" w:hAnsi="Times New Roman" w:cs="Times New Roman"/>
          <w:sz w:val="24"/>
          <w:szCs w:val="24"/>
        </w:rPr>
        <w:t>€</w:t>
      </w:r>
      <w:r w:rsidRPr="00234584">
        <w:rPr>
          <w:rFonts w:ascii="Times New Roman" w:hAnsi="Times New Roman" w:cs="Times New Roman"/>
          <w:sz w:val="24"/>
          <w:szCs w:val="24"/>
        </w:rPr>
        <w:t xml:space="preserve"> što je 93,82% u odnosu na planirani iznos od 5.207.407 </w:t>
      </w:r>
      <w:r>
        <w:rPr>
          <w:rFonts w:ascii="Times New Roman" w:hAnsi="Times New Roman" w:cs="Times New Roman"/>
          <w:sz w:val="24"/>
          <w:szCs w:val="24"/>
        </w:rPr>
        <w:t>€</w:t>
      </w:r>
      <w:r w:rsidRPr="00234584">
        <w:rPr>
          <w:rFonts w:ascii="Times New Roman" w:hAnsi="Times New Roman" w:cs="Times New Roman"/>
          <w:sz w:val="24"/>
          <w:szCs w:val="24"/>
        </w:rPr>
        <w:t xml:space="preserve">. Ostvareni prihodi sastoje se od naplaćenih naknada za koncesije u iznosu od 126.572,89 </w:t>
      </w:r>
      <w:r>
        <w:rPr>
          <w:rFonts w:ascii="Times New Roman" w:hAnsi="Times New Roman" w:cs="Times New Roman"/>
          <w:sz w:val="24"/>
          <w:szCs w:val="24"/>
        </w:rPr>
        <w:t>€</w:t>
      </w:r>
      <w:r w:rsidRPr="00234584">
        <w:rPr>
          <w:rFonts w:ascii="Times New Roman" w:hAnsi="Times New Roman" w:cs="Times New Roman"/>
          <w:sz w:val="24"/>
          <w:szCs w:val="24"/>
        </w:rPr>
        <w:t xml:space="preserve">, naplaćenih ostalih pristojbi i naknada u iznosu od 611.140,06 </w:t>
      </w:r>
      <w:r>
        <w:rPr>
          <w:rFonts w:ascii="Times New Roman" w:hAnsi="Times New Roman" w:cs="Times New Roman"/>
          <w:sz w:val="24"/>
          <w:szCs w:val="24"/>
        </w:rPr>
        <w:t>€</w:t>
      </w:r>
      <w:r w:rsidRPr="00234584">
        <w:rPr>
          <w:rFonts w:ascii="Times New Roman" w:hAnsi="Times New Roman" w:cs="Times New Roman"/>
          <w:sz w:val="24"/>
          <w:szCs w:val="24"/>
        </w:rPr>
        <w:t xml:space="preserve">, prihoda iz nadležnog proračuna za financiranje rashoda poslovanja u iznosu od 812.617,98 </w:t>
      </w:r>
      <w:r>
        <w:rPr>
          <w:rFonts w:ascii="Times New Roman" w:hAnsi="Times New Roman" w:cs="Times New Roman"/>
          <w:sz w:val="24"/>
          <w:szCs w:val="24"/>
        </w:rPr>
        <w:t>€</w:t>
      </w:r>
      <w:r w:rsidRPr="00234584">
        <w:rPr>
          <w:rFonts w:ascii="Times New Roman" w:hAnsi="Times New Roman" w:cs="Times New Roman"/>
          <w:sz w:val="24"/>
          <w:szCs w:val="24"/>
        </w:rPr>
        <w:t xml:space="preserve">, prihoda iz nadležnog proračuna za financiranje rashoda za nabavu nefinancijske imovine u iznosu od 2.835.226,69 </w:t>
      </w:r>
      <w:r>
        <w:rPr>
          <w:rFonts w:ascii="Times New Roman" w:hAnsi="Times New Roman" w:cs="Times New Roman"/>
          <w:sz w:val="24"/>
          <w:szCs w:val="24"/>
        </w:rPr>
        <w:t>€</w:t>
      </w:r>
      <w:r w:rsidRPr="00234584">
        <w:rPr>
          <w:rFonts w:ascii="Times New Roman" w:hAnsi="Times New Roman" w:cs="Times New Roman"/>
          <w:sz w:val="24"/>
          <w:szCs w:val="24"/>
        </w:rPr>
        <w:t xml:space="preserve"> i prihoda iz nadležnog proračuna za financiranje izdataka za otplatu zajmova u iznosu od 499.860,09 </w:t>
      </w:r>
      <w:r>
        <w:rPr>
          <w:rFonts w:ascii="Times New Roman" w:hAnsi="Times New Roman" w:cs="Times New Roman"/>
          <w:sz w:val="24"/>
          <w:szCs w:val="24"/>
        </w:rPr>
        <w:t>€</w:t>
      </w:r>
      <w:r w:rsidRPr="00234584">
        <w:rPr>
          <w:rFonts w:ascii="Times New Roman" w:hAnsi="Times New Roman" w:cs="Times New Roman"/>
          <w:sz w:val="24"/>
          <w:szCs w:val="24"/>
        </w:rPr>
        <w:t>.</w:t>
      </w:r>
    </w:p>
    <w:p w14:paraId="0B4DD7D9" w14:textId="77777777" w:rsidR="003C4D33" w:rsidRPr="00234584" w:rsidRDefault="003C4D33" w:rsidP="00B26639">
      <w:pPr>
        <w:jc w:val="both"/>
        <w:rPr>
          <w:rFonts w:ascii="Times New Roman" w:hAnsi="Times New Roman" w:cs="Times New Roman"/>
          <w:sz w:val="24"/>
          <w:szCs w:val="24"/>
        </w:rPr>
      </w:pPr>
      <w:r w:rsidRPr="00234584">
        <w:rPr>
          <w:rFonts w:ascii="Times New Roman" w:hAnsi="Times New Roman" w:cs="Times New Roman"/>
          <w:noProof/>
          <w:sz w:val="24"/>
          <w:szCs w:val="24"/>
        </w:rPr>
        <w:drawing>
          <wp:inline distT="0" distB="0" distL="0" distR="0" wp14:anchorId="5CAFAE59" wp14:editId="5AC08185">
            <wp:extent cx="4981575" cy="4495800"/>
            <wp:effectExtent l="0" t="0" r="9525" b="0"/>
            <wp:docPr id="1505353744" name="Grafikon 1">
              <a:extLst xmlns:a="http://schemas.openxmlformats.org/drawingml/2006/main">
                <a:ext uri="{FF2B5EF4-FFF2-40B4-BE49-F238E27FC236}">
                  <a16:creationId xmlns:a16="http://schemas.microsoft.com/office/drawing/2014/main" id="{7BB1C8EA-6679-7A04-3746-A0BE220D76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5E47EB" w14:textId="77777777" w:rsidR="003C4D33" w:rsidRPr="00234584" w:rsidRDefault="003C4D33" w:rsidP="00B26639">
      <w:pPr>
        <w:jc w:val="both"/>
        <w:rPr>
          <w:rFonts w:ascii="Times New Roman" w:hAnsi="Times New Roman" w:cs="Times New Roman"/>
          <w:b/>
          <w:bCs/>
          <w:sz w:val="24"/>
          <w:szCs w:val="24"/>
          <w:lang w:bidi="en-GB"/>
        </w:rPr>
      </w:pPr>
    </w:p>
    <w:p w14:paraId="6FF9E307" w14:textId="77777777" w:rsidR="003C4D33" w:rsidRPr="00234584" w:rsidRDefault="003C4D33" w:rsidP="00B26639">
      <w:pPr>
        <w:jc w:val="both"/>
        <w:rPr>
          <w:rFonts w:ascii="Times New Roman" w:hAnsi="Times New Roman" w:cs="Times New Roman"/>
          <w:b/>
          <w:bCs/>
          <w:sz w:val="24"/>
          <w:szCs w:val="24"/>
          <w:lang w:bidi="en-GB"/>
        </w:rPr>
      </w:pPr>
    </w:p>
    <w:p w14:paraId="60876985" w14:textId="77777777" w:rsidR="003C4D33" w:rsidRPr="00234584" w:rsidRDefault="003C4D33" w:rsidP="00B26639">
      <w:pPr>
        <w:jc w:val="both"/>
        <w:rPr>
          <w:rFonts w:ascii="Times New Roman" w:hAnsi="Times New Roman" w:cs="Times New Roman"/>
          <w:b/>
          <w:bCs/>
          <w:sz w:val="24"/>
          <w:szCs w:val="24"/>
          <w:lang w:bidi="en-GB"/>
        </w:rPr>
      </w:pPr>
    </w:p>
    <w:p w14:paraId="45E7F566"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2" w:name="_Toc161740987"/>
      <w:r w:rsidRPr="00234584">
        <w:rPr>
          <w:rFonts w:ascii="Times New Roman" w:eastAsia="Times New Roman" w:hAnsi="Times New Roman" w:cs="Times New Roman"/>
          <w:b/>
          <w:bCs/>
          <w:sz w:val="24"/>
          <w:szCs w:val="24"/>
          <w:lang w:val="en-GB" w:eastAsia="en-GB" w:bidi="en-GB"/>
        </w:rPr>
        <w:lastRenderedPageBreak/>
        <w:t xml:space="preserve">2.1.2. </w:t>
      </w:r>
      <w:proofErr w:type="spellStart"/>
      <w:r w:rsidRPr="00234584">
        <w:rPr>
          <w:rFonts w:ascii="Times New Roman" w:eastAsia="Times New Roman" w:hAnsi="Times New Roman" w:cs="Times New Roman"/>
          <w:b/>
          <w:bCs/>
          <w:sz w:val="24"/>
          <w:szCs w:val="24"/>
          <w:lang w:val="en-GB" w:eastAsia="en-GB" w:bidi="en-GB"/>
        </w:rPr>
        <w:t>Rashodi</w:t>
      </w:r>
      <w:proofErr w:type="spellEnd"/>
      <w:r w:rsidRPr="00234584">
        <w:rPr>
          <w:rFonts w:ascii="Times New Roman" w:eastAsia="Times New Roman" w:hAnsi="Times New Roman" w:cs="Times New Roman"/>
          <w:b/>
          <w:bCs/>
          <w:sz w:val="24"/>
          <w:szCs w:val="24"/>
          <w:lang w:val="en-GB" w:eastAsia="en-GB" w:bidi="en-GB"/>
        </w:rPr>
        <w:t xml:space="preserve"> </w:t>
      </w:r>
      <w:proofErr w:type="spellStart"/>
      <w:r w:rsidRPr="00234584">
        <w:rPr>
          <w:rFonts w:ascii="Times New Roman" w:eastAsia="Times New Roman" w:hAnsi="Times New Roman" w:cs="Times New Roman"/>
          <w:b/>
          <w:bCs/>
          <w:sz w:val="24"/>
          <w:szCs w:val="24"/>
          <w:lang w:val="en-GB" w:eastAsia="en-GB" w:bidi="en-GB"/>
        </w:rPr>
        <w:t>i</w:t>
      </w:r>
      <w:proofErr w:type="spellEnd"/>
      <w:r w:rsidRPr="00234584">
        <w:rPr>
          <w:rFonts w:ascii="Times New Roman" w:eastAsia="Times New Roman" w:hAnsi="Times New Roman" w:cs="Times New Roman"/>
          <w:b/>
          <w:bCs/>
          <w:sz w:val="24"/>
          <w:szCs w:val="24"/>
          <w:lang w:val="en-GB" w:eastAsia="en-GB" w:bidi="en-GB"/>
        </w:rPr>
        <w:t xml:space="preserve"> </w:t>
      </w:r>
      <w:proofErr w:type="spellStart"/>
      <w:r w:rsidRPr="00234584">
        <w:rPr>
          <w:rFonts w:ascii="Times New Roman" w:eastAsia="Times New Roman" w:hAnsi="Times New Roman" w:cs="Times New Roman"/>
          <w:b/>
          <w:bCs/>
          <w:sz w:val="24"/>
          <w:szCs w:val="24"/>
          <w:lang w:val="en-GB" w:eastAsia="en-GB" w:bidi="en-GB"/>
        </w:rPr>
        <w:t>izdaci</w:t>
      </w:r>
      <w:bookmarkEnd w:id="12"/>
      <w:proofErr w:type="spellEnd"/>
    </w:p>
    <w:p w14:paraId="6EBE1AFA" w14:textId="77777777" w:rsidR="003C4D33" w:rsidRPr="00234584" w:rsidRDefault="003C4D33" w:rsidP="00B26639">
      <w:pPr>
        <w:jc w:val="both"/>
        <w:rPr>
          <w:rFonts w:ascii="Times New Roman" w:hAnsi="Times New Roman" w:cs="Times New Roman"/>
          <w:b/>
          <w:bCs/>
          <w:sz w:val="24"/>
          <w:szCs w:val="24"/>
          <w:lang w:bidi="en-GB"/>
        </w:rPr>
      </w:pPr>
    </w:p>
    <w:p w14:paraId="0E1DC942" w14:textId="77777777" w:rsidR="003C4D33" w:rsidRPr="00234584"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Rashodi i izdaci Lučke uprave Slavonski Brod ostvareni su u periodu 01.01.-31.12.2023. godine u iznosu od 4.483.743,78 </w:t>
      </w:r>
      <w:r>
        <w:rPr>
          <w:rFonts w:ascii="Times New Roman" w:hAnsi="Times New Roman" w:cs="Times New Roman"/>
          <w:sz w:val="24"/>
          <w:szCs w:val="24"/>
        </w:rPr>
        <w:t>€</w:t>
      </w:r>
      <w:r w:rsidRPr="00234584">
        <w:rPr>
          <w:rFonts w:ascii="Times New Roman" w:hAnsi="Times New Roman" w:cs="Times New Roman"/>
          <w:sz w:val="24"/>
          <w:szCs w:val="24"/>
        </w:rPr>
        <w:t xml:space="preserve"> što je 88,6% u odnosu na planirani iznos od 5.060.769 </w:t>
      </w:r>
      <w:r>
        <w:rPr>
          <w:rFonts w:ascii="Times New Roman" w:hAnsi="Times New Roman" w:cs="Times New Roman"/>
          <w:sz w:val="24"/>
          <w:szCs w:val="24"/>
        </w:rPr>
        <w:t>€</w:t>
      </w:r>
      <w:r w:rsidRPr="00234584">
        <w:rPr>
          <w:rFonts w:ascii="Times New Roman" w:hAnsi="Times New Roman" w:cs="Times New Roman"/>
          <w:sz w:val="24"/>
          <w:szCs w:val="24"/>
        </w:rPr>
        <w:t xml:space="preserve">. Ostvareni rashodi odnose se na rashode za zaposlene u iznosu od 192.386,84 </w:t>
      </w:r>
      <w:r>
        <w:rPr>
          <w:rFonts w:ascii="Times New Roman" w:hAnsi="Times New Roman" w:cs="Times New Roman"/>
          <w:sz w:val="24"/>
          <w:szCs w:val="24"/>
        </w:rPr>
        <w:t>€</w:t>
      </w:r>
      <w:r w:rsidRPr="00234584">
        <w:rPr>
          <w:rFonts w:ascii="Times New Roman" w:hAnsi="Times New Roman" w:cs="Times New Roman"/>
          <w:sz w:val="24"/>
          <w:szCs w:val="24"/>
        </w:rPr>
        <w:t xml:space="preserve">, materijalne rashode u iznosu od 984.871,19 </w:t>
      </w:r>
      <w:r>
        <w:rPr>
          <w:rFonts w:ascii="Times New Roman" w:hAnsi="Times New Roman" w:cs="Times New Roman"/>
          <w:sz w:val="24"/>
          <w:szCs w:val="24"/>
        </w:rPr>
        <w:t>€</w:t>
      </w:r>
      <w:r w:rsidRPr="00234584">
        <w:rPr>
          <w:rFonts w:ascii="Times New Roman" w:hAnsi="Times New Roman" w:cs="Times New Roman"/>
          <w:sz w:val="24"/>
          <w:szCs w:val="24"/>
        </w:rPr>
        <w:t xml:space="preserve">, financijske rashode u iznosu od 471.259,06 </w:t>
      </w:r>
      <w:r>
        <w:rPr>
          <w:rFonts w:ascii="Times New Roman" w:hAnsi="Times New Roman" w:cs="Times New Roman"/>
          <w:sz w:val="24"/>
          <w:szCs w:val="24"/>
        </w:rPr>
        <w:t>€</w:t>
      </w:r>
      <w:r w:rsidRPr="00234584">
        <w:rPr>
          <w:rFonts w:ascii="Times New Roman" w:hAnsi="Times New Roman" w:cs="Times New Roman"/>
          <w:sz w:val="24"/>
          <w:szCs w:val="24"/>
        </w:rPr>
        <w:t xml:space="preserve"> i rashode za nabavu proizvedene dugotrajne imovine u iznosu od 2.835.226,69 </w:t>
      </w:r>
      <w:r>
        <w:rPr>
          <w:rFonts w:ascii="Times New Roman" w:hAnsi="Times New Roman" w:cs="Times New Roman"/>
          <w:sz w:val="24"/>
          <w:szCs w:val="24"/>
        </w:rPr>
        <w:t>€</w:t>
      </w:r>
      <w:r w:rsidRPr="00234584">
        <w:rPr>
          <w:rFonts w:ascii="Times New Roman" w:hAnsi="Times New Roman" w:cs="Times New Roman"/>
          <w:sz w:val="24"/>
          <w:szCs w:val="24"/>
        </w:rPr>
        <w:t xml:space="preserve">. Ostvareni izdaci odnose se na dionice i udjele u glavnici trgovačkih društava u javnom sektoru u iznosu od 2.500,00 </w:t>
      </w:r>
      <w:r>
        <w:rPr>
          <w:rFonts w:ascii="Times New Roman" w:hAnsi="Times New Roman" w:cs="Times New Roman"/>
          <w:sz w:val="24"/>
          <w:szCs w:val="24"/>
        </w:rPr>
        <w:t>€</w:t>
      </w:r>
      <w:r w:rsidRPr="00234584">
        <w:rPr>
          <w:rFonts w:ascii="Times New Roman" w:hAnsi="Times New Roman" w:cs="Times New Roman"/>
          <w:sz w:val="24"/>
          <w:szCs w:val="24"/>
        </w:rPr>
        <w:t xml:space="preserve"> i na izdatke za otplate glavnice primljenih kredita i zajmova u iznosu od 499.860,09 </w:t>
      </w:r>
      <w:r>
        <w:rPr>
          <w:rFonts w:ascii="Times New Roman" w:hAnsi="Times New Roman" w:cs="Times New Roman"/>
          <w:sz w:val="24"/>
          <w:szCs w:val="24"/>
        </w:rPr>
        <w:t>€</w:t>
      </w:r>
      <w:r w:rsidRPr="00234584">
        <w:rPr>
          <w:rFonts w:ascii="Times New Roman" w:hAnsi="Times New Roman" w:cs="Times New Roman"/>
          <w:sz w:val="24"/>
          <w:szCs w:val="24"/>
        </w:rPr>
        <w:t>.</w:t>
      </w:r>
    </w:p>
    <w:p w14:paraId="27BE93C3" w14:textId="77777777" w:rsidR="003C4D33" w:rsidRDefault="003C4D33" w:rsidP="00B26639">
      <w:pPr>
        <w:jc w:val="both"/>
        <w:rPr>
          <w:rFonts w:ascii="Times New Roman" w:hAnsi="Times New Roman" w:cs="Times New Roman"/>
          <w:sz w:val="24"/>
          <w:szCs w:val="24"/>
        </w:rPr>
      </w:pPr>
      <w:r w:rsidRPr="00234584">
        <w:rPr>
          <w:rFonts w:ascii="Times New Roman" w:hAnsi="Times New Roman" w:cs="Times New Roman"/>
          <w:noProof/>
          <w:sz w:val="24"/>
          <w:szCs w:val="24"/>
        </w:rPr>
        <w:drawing>
          <wp:inline distT="0" distB="0" distL="0" distR="0" wp14:anchorId="2635A874" wp14:editId="738C3B83">
            <wp:extent cx="4686300" cy="3952875"/>
            <wp:effectExtent l="0" t="0" r="0" b="9525"/>
            <wp:docPr id="1194996511" name="Grafikon 1">
              <a:extLst xmlns:a="http://schemas.openxmlformats.org/drawingml/2006/main">
                <a:ext uri="{FF2B5EF4-FFF2-40B4-BE49-F238E27FC236}">
                  <a16:creationId xmlns:a16="http://schemas.microsoft.com/office/drawing/2014/main" id="{2D9BF4FA-86AD-06BB-5D49-CE3B51A978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376ED0" w14:textId="77777777" w:rsidR="003C4D33" w:rsidRDefault="003C4D33" w:rsidP="00B26639">
      <w:pPr>
        <w:jc w:val="both"/>
        <w:rPr>
          <w:rFonts w:ascii="Times New Roman" w:hAnsi="Times New Roman" w:cs="Times New Roman"/>
          <w:sz w:val="24"/>
          <w:szCs w:val="24"/>
        </w:rPr>
      </w:pPr>
    </w:p>
    <w:p w14:paraId="4AA30CA2" w14:textId="77777777" w:rsidR="003C4D33"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3" w:name="_Toc161740988"/>
      <w:r w:rsidRPr="00234584">
        <w:rPr>
          <w:rFonts w:ascii="Times New Roman" w:eastAsia="Times New Roman" w:hAnsi="Times New Roman" w:cs="Times New Roman"/>
          <w:b/>
          <w:bCs/>
          <w:sz w:val="24"/>
          <w:szCs w:val="24"/>
          <w:lang w:val="en-GB" w:eastAsia="en-GB" w:bidi="en-GB"/>
        </w:rPr>
        <w:t>2.</w:t>
      </w:r>
      <w:r>
        <w:rPr>
          <w:rFonts w:ascii="Times New Roman" w:eastAsia="Times New Roman" w:hAnsi="Times New Roman" w:cs="Times New Roman"/>
          <w:b/>
          <w:bCs/>
          <w:sz w:val="24"/>
          <w:szCs w:val="24"/>
          <w:lang w:val="en-GB" w:eastAsia="en-GB" w:bidi="en-GB"/>
        </w:rPr>
        <w:t>2</w:t>
      </w:r>
      <w:r w:rsidRPr="00234584">
        <w:rPr>
          <w:rFonts w:ascii="Times New Roman" w:eastAsia="Times New Roman" w:hAnsi="Times New Roman" w:cs="Times New Roman"/>
          <w:b/>
          <w:bCs/>
          <w:sz w:val="24"/>
          <w:szCs w:val="24"/>
          <w:lang w:val="en-GB" w:eastAsia="en-GB" w:bidi="en-GB"/>
        </w:rPr>
        <w:t>. STANJE NOVČANIH SREDSTAVA NA RAČUNIMA NA POČETKU I NA KRAJU PRORAČUNSKE GODINE</w:t>
      </w:r>
      <w:bookmarkEnd w:id="13"/>
    </w:p>
    <w:p w14:paraId="6C289258"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6B831E98" w14:textId="77777777" w:rsidR="003C4D33" w:rsidRPr="00234584" w:rsidRDefault="003C4D33" w:rsidP="00B26639">
      <w:pPr>
        <w:jc w:val="both"/>
        <w:rPr>
          <w:rFonts w:ascii="Times New Roman" w:hAnsi="Times New Roman" w:cs="Times New Roman"/>
          <w:sz w:val="24"/>
          <w:szCs w:val="24"/>
          <w:lang w:bidi="en-GB"/>
        </w:rPr>
      </w:pPr>
      <w:r w:rsidRPr="00234584">
        <w:rPr>
          <w:rFonts w:ascii="Times New Roman" w:hAnsi="Times New Roman" w:cs="Times New Roman"/>
          <w:sz w:val="24"/>
          <w:szCs w:val="24"/>
          <w:lang w:bidi="en-GB"/>
        </w:rPr>
        <w:t xml:space="preserve">Lučka uprava Slavonski Brod nema </w:t>
      </w:r>
      <w:r>
        <w:rPr>
          <w:rFonts w:ascii="Times New Roman" w:hAnsi="Times New Roman" w:cs="Times New Roman"/>
          <w:sz w:val="24"/>
          <w:szCs w:val="24"/>
          <w:lang w:bidi="en-GB"/>
        </w:rPr>
        <w:t>ostvarenih sredstava na</w:t>
      </w:r>
      <w:r w:rsidRPr="00234584">
        <w:rPr>
          <w:rFonts w:ascii="Times New Roman" w:hAnsi="Times New Roman" w:cs="Times New Roman"/>
          <w:sz w:val="24"/>
          <w:szCs w:val="24"/>
          <w:lang w:bidi="en-GB"/>
        </w:rPr>
        <w:t xml:space="preserve"> račun</w:t>
      </w:r>
      <w:r>
        <w:rPr>
          <w:rFonts w:ascii="Times New Roman" w:hAnsi="Times New Roman" w:cs="Times New Roman"/>
          <w:sz w:val="24"/>
          <w:szCs w:val="24"/>
          <w:lang w:bidi="en-GB"/>
        </w:rPr>
        <w:t>ima</w:t>
      </w:r>
      <w:r w:rsidRPr="00234584">
        <w:rPr>
          <w:rFonts w:ascii="Times New Roman" w:hAnsi="Times New Roman" w:cs="Times New Roman"/>
          <w:sz w:val="24"/>
          <w:szCs w:val="24"/>
          <w:lang w:bidi="en-GB"/>
        </w:rPr>
        <w:t xml:space="preserve"> jer posluje preko jedinstvenog računa državne riznice. </w:t>
      </w:r>
    </w:p>
    <w:p w14:paraId="2039AB53" w14:textId="77777777" w:rsidR="003C4D33" w:rsidRDefault="003C4D33" w:rsidP="00B26639">
      <w:pPr>
        <w:jc w:val="both"/>
        <w:rPr>
          <w:rFonts w:ascii="Times New Roman" w:hAnsi="Times New Roman" w:cs="Times New Roman"/>
          <w:sz w:val="24"/>
          <w:szCs w:val="24"/>
        </w:rPr>
      </w:pPr>
    </w:p>
    <w:p w14:paraId="5F6E5D9A" w14:textId="77777777" w:rsidR="003C4D33" w:rsidRDefault="003C4D33" w:rsidP="00B26639">
      <w:pPr>
        <w:jc w:val="both"/>
        <w:rPr>
          <w:rFonts w:ascii="Times New Roman" w:hAnsi="Times New Roman" w:cs="Times New Roman"/>
          <w:sz w:val="24"/>
          <w:szCs w:val="24"/>
        </w:rPr>
      </w:pPr>
    </w:p>
    <w:p w14:paraId="2809BD9B" w14:textId="77777777" w:rsidR="003C4D33" w:rsidRDefault="003C4D33" w:rsidP="00B26639">
      <w:pPr>
        <w:jc w:val="both"/>
        <w:rPr>
          <w:rFonts w:ascii="Times New Roman" w:hAnsi="Times New Roman" w:cs="Times New Roman"/>
          <w:sz w:val="24"/>
          <w:szCs w:val="24"/>
        </w:rPr>
      </w:pPr>
    </w:p>
    <w:p w14:paraId="18BBA2ED" w14:textId="77777777" w:rsidR="003C4D33" w:rsidRDefault="003C4D33" w:rsidP="00B26639">
      <w:pPr>
        <w:jc w:val="both"/>
        <w:rPr>
          <w:rFonts w:ascii="Times New Roman" w:hAnsi="Times New Roman" w:cs="Times New Roman"/>
          <w:sz w:val="24"/>
          <w:szCs w:val="24"/>
        </w:rPr>
      </w:pPr>
    </w:p>
    <w:p w14:paraId="716619BD" w14:textId="77777777" w:rsidR="003C4D33" w:rsidRPr="00234584" w:rsidRDefault="003C4D33" w:rsidP="00B26639">
      <w:pPr>
        <w:jc w:val="both"/>
        <w:rPr>
          <w:rFonts w:ascii="Times New Roman" w:hAnsi="Times New Roman" w:cs="Times New Roman"/>
          <w:sz w:val="24"/>
          <w:szCs w:val="24"/>
        </w:rPr>
      </w:pPr>
    </w:p>
    <w:p w14:paraId="74F657FA" w14:textId="77777777" w:rsidR="003C4D33" w:rsidRPr="00234584" w:rsidRDefault="003C4D33" w:rsidP="00B26639">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bookmarkStart w:id="14" w:name="_Toc161740989"/>
      <w:r w:rsidRPr="00234584">
        <w:rPr>
          <w:rFonts w:ascii="Times New Roman" w:eastAsia="Times New Roman" w:hAnsi="Times New Roman" w:cs="Times New Roman"/>
          <w:b/>
          <w:bCs/>
          <w:sz w:val="24"/>
          <w:szCs w:val="24"/>
          <w:lang w:val="en-GB" w:eastAsia="en-GB" w:bidi="en-GB"/>
        </w:rPr>
        <w:lastRenderedPageBreak/>
        <w:t>2.</w:t>
      </w:r>
      <w:r>
        <w:rPr>
          <w:rFonts w:ascii="Times New Roman" w:eastAsia="Times New Roman" w:hAnsi="Times New Roman" w:cs="Times New Roman"/>
          <w:b/>
          <w:bCs/>
          <w:sz w:val="24"/>
          <w:szCs w:val="24"/>
          <w:lang w:val="en-GB" w:eastAsia="en-GB" w:bidi="en-GB"/>
        </w:rPr>
        <w:t>3</w:t>
      </w:r>
      <w:r w:rsidRPr="00234584">
        <w:rPr>
          <w:rFonts w:ascii="Times New Roman" w:eastAsia="Times New Roman" w:hAnsi="Times New Roman" w:cs="Times New Roman"/>
          <w:b/>
          <w:bCs/>
          <w:sz w:val="24"/>
          <w:szCs w:val="24"/>
          <w:lang w:val="en-GB" w:eastAsia="en-GB" w:bidi="en-GB"/>
        </w:rPr>
        <w:t>. OBRAZLOŽENJE OSTVARENOG PRIJENOSA SREDSTAVA IZ PRETHODNE GODINE I PRIJENOSA SREDSTAVA U SLIJEDEĆE RAZDOBLJE</w:t>
      </w:r>
      <w:bookmarkEnd w:id="14"/>
    </w:p>
    <w:p w14:paraId="2999F673" w14:textId="77777777" w:rsidR="003C4D33" w:rsidRPr="00234584" w:rsidRDefault="003C4D33" w:rsidP="00B26639">
      <w:pPr>
        <w:jc w:val="both"/>
        <w:rPr>
          <w:rFonts w:ascii="Times New Roman" w:hAnsi="Times New Roman" w:cs="Times New Roman"/>
          <w:b/>
          <w:bCs/>
          <w:sz w:val="24"/>
          <w:szCs w:val="24"/>
          <w:lang w:bidi="en-GB"/>
        </w:rPr>
      </w:pPr>
    </w:p>
    <w:p w14:paraId="12907185" w14:textId="77777777" w:rsidR="003C4D33" w:rsidRPr="00234584"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Prijenos sredstava iz prethodne godine ostvaren je u iznosu 389.098 </w:t>
      </w:r>
      <w:r>
        <w:rPr>
          <w:rFonts w:ascii="Times New Roman" w:hAnsi="Times New Roman" w:cs="Times New Roman"/>
          <w:sz w:val="24"/>
          <w:szCs w:val="24"/>
        </w:rPr>
        <w:t>€</w:t>
      </w:r>
      <w:r w:rsidRPr="00234584">
        <w:rPr>
          <w:rFonts w:ascii="Times New Roman" w:hAnsi="Times New Roman" w:cs="Times New Roman"/>
          <w:sz w:val="24"/>
          <w:szCs w:val="24"/>
        </w:rPr>
        <w:t xml:space="preserve">, a odnosi se na: </w:t>
      </w:r>
    </w:p>
    <w:p w14:paraId="4A5FC9B1" w14:textId="77777777" w:rsidR="003C4D33" w:rsidRPr="00234584" w:rsidRDefault="003C4D33" w:rsidP="003C4D33">
      <w:pPr>
        <w:numPr>
          <w:ilvl w:val="0"/>
          <w:numId w:val="11"/>
        </w:numPr>
        <w:jc w:val="both"/>
        <w:rPr>
          <w:rFonts w:ascii="Times New Roman" w:hAnsi="Times New Roman" w:cs="Times New Roman"/>
          <w:sz w:val="24"/>
          <w:szCs w:val="24"/>
        </w:rPr>
      </w:pPr>
      <w:r w:rsidRPr="00234584">
        <w:rPr>
          <w:rFonts w:ascii="Times New Roman" w:hAnsi="Times New Roman" w:cs="Times New Roman"/>
          <w:sz w:val="24"/>
          <w:szCs w:val="24"/>
        </w:rPr>
        <w:t xml:space="preserve">Izvor 43 – Ostali prihodi za posebne namjene u iznosu 182.181 </w:t>
      </w:r>
      <w:r>
        <w:rPr>
          <w:rFonts w:ascii="Times New Roman" w:hAnsi="Times New Roman" w:cs="Times New Roman"/>
          <w:sz w:val="24"/>
          <w:szCs w:val="24"/>
        </w:rPr>
        <w:t>€</w:t>
      </w:r>
      <w:r w:rsidRPr="00234584">
        <w:rPr>
          <w:rFonts w:ascii="Times New Roman" w:hAnsi="Times New Roman" w:cs="Times New Roman"/>
          <w:sz w:val="24"/>
          <w:szCs w:val="24"/>
        </w:rPr>
        <w:t xml:space="preserve"> – prihodi koje Lučka uprava Slavonski Brod ostvaruje iz ovog izvora odnose se na koncesijske naknade i ostale naknade i pristojbe za posebne namjene, a koje se troše za financiranje redovnog poslovanja Lučke uprave Slavonski Brod. </w:t>
      </w:r>
    </w:p>
    <w:p w14:paraId="57C964FD" w14:textId="77777777" w:rsidR="003C4D33" w:rsidRPr="00234584" w:rsidRDefault="003C4D33" w:rsidP="003C4D33">
      <w:pPr>
        <w:numPr>
          <w:ilvl w:val="0"/>
          <w:numId w:val="11"/>
        </w:numPr>
        <w:jc w:val="both"/>
        <w:rPr>
          <w:rFonts w:ascii="Times New Roman" w:hAnsi="Times New Roman" w:cs="Times New Roman"/>
          <w:sz w:val="24"/>
          <w:szCs w:val="24"/>
        </w:rPr>
      </w:pPr>
      <w:r w:rsidRPr="00234584">
        <w:rPr>
          <w:rFonts w:ascii="Times New Roman" w:hAnsi="Times New Roman" w:cs="Times New Roman"/>
          <w:sz w:val="24"/>
          <w:szCs w:val="24"/>
        </w:rPr>
        <w:t xml:space="preserve">Izvor 51 – Pomoći EU u iznosu od 206.917 </w:t>
      </w:r>
      <w:r>
        <w:rPr>
          <w:rFonts w:ascii="Times New Roman" w:hAnsi="Times New Roman" w:cs="Times New Roman"/>
          <w:sz w:val="24"/>
          <w:szCs w:val="24"/>
        </w:rPr>
        <w:t>€</w:t>
      </w:r>
      <w:r w:rsidRPr="00234584">
        <w:rPr>
          <w:rFonts w:ascii="Times New Roman" w:hAnsi="Times New Roman" w:cs="Times New Roman"/>
          <w:sz w:val="24"/>
          <w:szCs w:val="24"/>
        </w:rPr>
        <w:t xml:space="preserve"> – odnosi se na 50% sredstava iz EU koja su uplaćena i koja su namijenjena za realizaciju projekta ''CEF-Izrada studija i projektne dokumentacije za potrebe izgradnje terminala za opasne terete u luci Slavonski Brod''.</w:t>
      </w:r>
    </w:p>
    <w:p w14:paraId="64342802" w14:textId="77777777" w:rsidR="003C4D33" w:rsidRPr="00234584" w:rsidRDefault="003C4D33" w:rsidP="00B26639">
      <w:pPr>
        <w:jc w:val="both"/>
        <w:rPr>
          <w:rFonts w:ascii="Times New Roman" w:hAnsi="Times New Roman" w:cs="Times New Roman"/>
          <w:sz w:val="24"/>
          <w:szCs w:val="24"/>
        </w:rPr>
      </w:pPr>
      <w:r w:rsidRPr="00234584">
        <w:rPr>
          <w:rFonts w:ascii="Times New Roman" w:hAnsi="Times New Roman" w:cs="Times New Roman"/>
          <w:sz w:val="24"/>
          <w:szCs w:val="24"/>
        </w:rPr>
        <w:t xml:space="preserve">Iznos sredstava koji ostaje za prijenos u slijedeće razdoblje je 288.412,07 </w:t>
      </w:r>
      <w:r>
        <w:rPr>
          <w:rFonts w:ascii="Times New Roman" w:hAnsi="Times New Roman" w:cs="Times New Roman"/>
          <w:sz w:val="24"/>
          <w:szCs w:val="24"/>
        </w:rPr>
        <w:t>€</w:t>
      </w:r>
      <w:r w:rsidRPr="00234584">
        <w:rPr>
          <w:rFonts w:ascii="Times New Roman" w:hAnsi="Times New Roman" w:cs="Times New Roman"/>
          <w:sz w:val="24"/>
          <w:szCs w:val="24"/>
        </w:rPr>
        <w:t>, a odnosi se na:</w:t>
      </w:r>
    </w:p>
    <w:p w14:paraId="3FEFB65C" w14:textId="77777777" w:rsidR="003C4D33" w:rsidRPr="00234584" w:rsidRDefault="003C4D33" w:rsidP="003C4D33">
      <w:pPr>
        <w:numPr>
          <w:ilvl w:val="0"/>
          <w:numId w:val="11"/>
        </w:numPr>
        <w:jc w:val="both"/>
        <w:rPr>
          <w:rFonts w:ascii="Times New Roman" w:hAnsi="Times New Roman" w:cs="Times New Roman"/>
          <w:sz w:val="24"/>
          <w:szCs w:val="24"/>
        </w:rPr>
      </w:pPr>
      <w:r w:rsidRPr="00234584">
        <w:rPr>
          <w:rFonts w:ascii="Times New Roman" w:hAnsi="Times New Roman" w:cs="Times New Roman"/>
          <w:sz w:val="24"/>
          <w:szCs w:val="24"/>
        </w:rPr>
        <w:t xml:space="preserve">Izvor 43 – 133.479,63 </w:t>
      </w:r>
      <w:r>
        <w:rPr>
          <w:rFonts w:ascii="Times New Roman" w:hAnsi="Times New Roman" w:cs="Times New Roman"/>
          <w:sz w:val="24"/>
          <w:szCs w:val="24"/>
        </w:rPr>
        <w:t>€</w:t>
      </w:r>
      <w:r w:rsidRPr="00234584">
        <w:rPr>
          <w:rFonts w:ascii="Times New Roman" w:hAnsi="Times New Roman" w:cs="Times New Roman"/>
          <w:sz w:val="24"/>
          <w:szCs w:val="24"/>
        </w:rPr>
        <w:t xml:space="preserve"> koji će se potrošiti za  financiranje rashoda poslovanja (rashodi za zaposlene, materijalni rashodi i financijski rashodi), </w:t>
      </w:r>
    </w:p>
    <w:p w14:paraId="6A33B4E5" w14:textId="77777777" w:rsidR="003C4D33" w:rsidRPr="00234584" w:rsidRDefault="003C4D33" w:rsidP="003C4D33">
      <w:pPr>
        <w:numPr>
          <w:ilvl w:val="0"/>
          <w:numId w:val="11"/>
        </w:numPr>
        <w:jc w:val="both"/>
        <w:rPr>
          <w:rFonts w:ascii="Times New Roman" w:hAnsi="Times New Roman" w:cs="Times New Roman"/>
          <w:sz w:val="24"/>
          <w:szCs w:val="24"/>
        </w:rPr>
      </w:pPr>
      <w:r w:rsidRPr="00234584">
        <w:rPr>
          <w:rFonts w:ascii="Times New Roman" w:hAnsi="Times New Roman" w:cs="Times New Roman"/>
          <w:sz w:val="24"/>
          <w:szCs w:val="24"/>
        </w:rPr>
        <w:t xml:space="preserve">Izvor 51 – 154.932,44 </w:t>
      </w:r>
      <w:r>
        <w:rPr>
          <w:rFonts w:ascii="Times New Roman" w:hAnsi="Times New Roman" w:cs="Times New Roman"/>
          <w:sz w:val="24"/>
          <w:szCs w:val="24"/>
        </w:rPr>
        <w:t>€</w:t>
      </w:r>
      <w:r w:rsidRPr="00234584">
        <w:rPr>
          <w:rFonts w:ascii="Times New Roman" w:hAnsi="Times New Roman" w:cs="Times New Roman"/>
          <w:sz w:val="24"/>
          <w:szCs w:val="24"/>
        </w:rPr>
        <w:t xml:space="preserve"> koji će se potrošiti za nastavak realizacije projekta ''CEF-Izrada studija i projektne dokumentacije za potrebe izgradnje Terminala za opasne terete u luci Slavonski Brod''.</w:t>
      </w:r>
    </w:p>
    <w:p w14:paraId="1B2D19F3" w14:textId="77777777" w:rsidR="00692561" w:rsidRPr="00B07225" w:rsidRDefault="00692561" w:rsidP="003C4D33">
      <w:pPr>
        <w:ind w:left="720"/>
        <w:jc w:val="both"/>
        <w:rPr>
          <w:rFonts w:ascii="Times New Roman" w:hAnsi="Times New Roman" w:cs="Times New Roman"/>
          <w:sz w:val="24"/>
          <w:szCs w:val="24"/>
        </w:rPr>
      </w:pPr>
    </w:p>
    <w:p w14:paraId="3D052993" w14:textId="77777777" w:rsidR="005739D4" w:rsidRPr="00B07225" w:rsidRDefault="005739D4" w:rsidP="00DA52AA">
      <w:pPr>
        <w:jc w:val="both"/>
        <w:rPr>
          <w:rFonts w:ascii="Times New Roman" w:hAnsi="Times New Roman" w:cs="Times New Roman"/>
          <w:sz w:val="24"/>
          <w:szCs w:val="24"/>
        </w:rPr>
      </w:pPr>
    </w:p>
    <w:p w14:paraId="74D01ACD" w14:textId="77777777" w:rsidR="005739D4" w:rsidRPr="00B07225" w:rsidRDefault="005739D4" w:rsidP="00DA52AA">
      <w:pPr>
        <w:jc w:val="both"/>
        <w:rPr>
          <w:rFonts w:ascii="Times New Roman" w:hAnsi="Times New Roman" w:cs="Times New Roman"/>
          <w:sz w:val="24"/>
          <w:szCs w:val="24"/>
        </w:rPr>
      </w:pPr>
    </w:p>
    <w:p w14:paraId="391CD2F1" w14:textId="77777777" w:rsidR="005739D4" w:rsidRPr="00B07225" w:rsidRDefault="005739D4" w:rsidP="00DA52AA">
      <w:pPr>
        <w:jc w:val="both"/>
        <w:rPr>
          <w:rFonts w:ascii="Times New Roman" w:hAnsi="Times New Roman" w:cs="Times New Roman"/>
          <w:sz w:val="24"/>
          <w:szCs w:val="24"/>
        </w:rPr>
      </w:pPr>
    </w:p>
    <w:p w14:paraId="0B90FE25" w14:textId="77777777" w:rsidR="005739D4" w:rsidRPr="00B07225" w:rsidRDefault="005739D4" w:rsidP="00DA52AA">
      <w:pPr>
        <w:jc w:val="both"/>
        <w:rPr>
          <w:rFonts w:ascii="Times New Roman" w:hAnsi="Times New Roman" w:cs="Times New Roman"/>
          <w:sz w:val="24"/>
          <w:szCs w:val="24"/>
        </w:rPr>
      </w:pPr>
    </w:p>
    <w:p w14:paraId="47BB448B" w14:textId="77777777" w:rsidR="005739D4" w:rsidRPr="00B07225" w:rsidRDefault="005739D4" w:rsidP="00DA52AA">
      <w:pPr>
        <w:jc w:val="both"/>
        <w:rPr>
          <w:rFonts w:ascii="Times New Roman" w:hAnsi="Times New Roman" w:cs="Times New Roman"/>
          <w:sz w:val="24"/>
          <w:szCs w:val="24"/>
        </w:rPr>
      </w:pPr>
    </w:p>
    <w:p w14:paraId="46A8406E" w14:textId="77777777" w:rsidR="005739D4" w:rsidRPr="00B07225" w:rsidRDefault="005739D4" w:rsidP="00DA52AA">
      <w:pPr>
        <w:jc w:val="both"/>
        <w:rPr>
          <w:rFonts w:ascii="Times New Roman" w:hAnsi="Times New Roman" w:cs="Times New Roman"/>
          <w:sz w:val="24"/>
          <w:szCs w:val="24"/>
        </w:rPr>
      </w:pPr>
    </w:p>
    <w:p w14:paraId="40922DBB" w14:textId="77777777" w:rsidR="005739D4" w:rsidRPr="00B07225" w:rsidRDefault="005739D4" w:rsidP="00DA52AA">
      <w:pPr>
        <w:jc w:val="both"/>
        <w:rPr>
          <w:rFonts w:ascii="Times New Roman" w:hAnsi="Times New Roman" w:cs="Times New Roman"/>
          <w:sz w:val="24"/>
          <w:szCs w:val="24"/>
        </w:rPr>
      </w:pPr>
    </w:p>
    <w:p w14:paraId="3BE50C8D" w14:textId="77777777" w:rsidR="005739D4" w:rsidRPr="00B07225" w:rsidRDefault="005739D4" w:rsidP="00DA52AA">
      <w:pPr>
        <w:jc w:val="both"/>
        <w:rPr>
          <w:rFonts w:ascii="Times New Roman" w:hAnsi="Times New Roman" w:cs="Times New Roman"/>
          <w:sz w:val="24"/>
          <w:szCs w:val="24"/>
        </w:rPr>
      </w:pPr>
    </w:p>
    <w:p w14:paraId="134DF5AA" w14:textId="77777777" w:rsidR="005739D4" w:rsidRPr="00B07225" w:rsidRDefault="005739D4" w:rsidP="00DA52AA">
      <w:pPr>
        <w:jc w:val="both"/>
        <w:rPr>
          <w:rFonts w:ascii="Times New Roman" w:hAnsi="Times New Roman" w:cs="Times New Roman"/>
          <w:sz w:val="24"/>
          <w:szCs w:val="24"/>
        </w:rPr>
      </w:pPr>
    </w:p>
    <w:p w14:paraId="76BAB7FF" w14:textId="77777777" w:rsidR="00864629" w:rsidRPr="00B07225" w:rsidRDefault="00864629" w:rsidP="00DA52AA">
      <w:pPr>
        <w:jc w:val="both"/>
        <w:rPr>
          <w:rFonts w:ascii="Times New Roman" w:hAnsi="Times New Roman" w:cs="Times New Roman"/>
          <w:sz w:val="24"/>
          <w:szCs w:val="24"/>
        </w:rPr>
      </w:pPr>
    </w:p>
    <w:p w14:paraId="6AC4A173" w14:textId="77777777" w:rsidR="0054431B" w:rsidRPr="00B07225" w:rsidRDefault="0054431B" w:rsidP="00DA52AA">
      <w:pPr>
        <w:jc w:val="both"/>
        <w:rPr>
          <w:rFonts w:ascii="Times New Roman" w:hAnsi="Times New Roman" w:cs="Times New Roman"/>
          <w:sz w:val="24"/>
          <w:szCs w:val="24"/>
        </w:rPr>
      </w:pPr>
    </w:p>
    <w:p w14:paraId="4E66C9C8" w14:textId="77777777" w:rsidR="00692561" w:rsidRPr="00B07225" w:rsidRDefault="00692561" w:rsidP="00DA52AA">
      <w:pPr>
        <w:jc w:val="both"/>
        <w:rPr>
          <w:rFonts w:ascii="Times New Roman" w:hAnsi="Times New Roman" w:cs="Times New Roman"/>
          <w:sz w:val="24"/>
          <w:szCs w:val="24"/>
        </w:rPr>
      </w:pPr>
    </w:p>
    <w:p w14:paraId="304DC391" w14:textId="77777777" w:rsidR="00692561" w:rsidRPr="00B07225" w:rsidRDefault="00692561" w:rsidP="00DA52AA">
      <w:pPr>
        <w:jc w:val="both"/>
        <w:rPr>
          <w:rFonts w:ascii="Times New Roman" w:hAnsi="Times New Roman" w:cs="Times New Roman"/>
          <w:sz w:val="24"/>
          <w:szCs w:val="24"/>
        </w:rPr>
      </w:pPr>
    </w:p>
    <w:p w14:paraId="681B91F9" w14:textId="77777777" w:rsidR="00692561" w:rsidRPr="00B07225" w:rsidRDefault="00692561" w:rsidP="00DA52AA">
      <w:pPr>
        <w:jc w:val="both"/>
        <w:rPr>
          <w:rFonts w:ascii="Times New Roman" w:hAnsi="Times New Roman" w:cs="Times New Roman"/>
          <w:sz w:val="24"/>
          <w:szCs w:val="24"/>
        </w:rPr>
      </w:pPr>
    </w:p>
    <w:p w14:paraId="577D7C9A" w14:textId="77777777" w:rsidR="00BC50E8" w:rsidRPr="00B07225" w:rsidRDefault="00BC50E8" w:rsidP="00DA52AA">
      <w:pPr>
        <w:jc w:val="both"/>
        <w:rPr>
          <w:rFonts w:ascii="Times New Roman" w:hAnsi="Times New Roman" w:cs="Times New Roman"/>
          <w:sz w:val="24"/>
          <w:szCs w:val="24"/>
        </w:rPr>
      </w:pPr>
    </w:p>
    <w:p w14:paraId="2AF8B895" w14:textId="7706871D" w:rsidR="007403ED" w:rsidRPr="00B07225" w:rsidRDefault="003C4D33" w:rsidP="005E6AD7">
      <w:pPr>
        <w:pStyle w:val="Naslov1"/>
      </w:pPr>
      <w:bookmarkStart w:id="15" w:name="_Toc161740990"/>
      <w:r>
        <w:lastRenderedPageBreak/>
        <w:t>3</w:t>
      </w:r>
      <w:r w:rsidR="00220DA5" w:rsidRPr="00B07225">
        <w:t>. POSEBNI DIO</w:t>
      </w:r>
      <w:bookmarkEnd w:id="15"/>
    </w:p>
    <w:p w14:paraId="750B0BD5" w14:textId="714319C1" w:rsidR="00220DA5" w:rsidRPr="00B07225" w:rsidRDefault="003C4D33" w:rsidP="007403ED">
      <w:pPr>
        <w:pStyle w:val="Naslov1"/>
      </w:pPr>
      <w:bookmarkStart w:id="16" w:name="_Toc161740991"/>
      <w:r>
        <w:t>3</w:t>
      </w:r>
      <w:r w:rsidR="00F8553A" w:rsidRPr="00B07225">
        <w:t xml:space="preserve">.1. </w:t>
      </w:r>
      <w:r w:rsidR="001B2191" w:rsidRPr="00B07225">
        <w:t>I</w:t>
      </w:r>
      <w:r>
        <w:t>ZVJEŠTAJ PO PROGRAMSKOJ KLASIFIKACIJI</w:t>
      </w:r>
      <w:bookmarkEnd w:id="16"/>
    </w:p>
    <w:p w14:paraId="547FEFFF" w14:textId="77777777" w:rsidR="007403ED" w:rsidRPr="00B07225" w:rsidRDefault="007403ED" w:rsidP="007403ED">
      <w:pPr>
        <w:pStyle w:val="Naslov1"/>
      </w:pPr>
    </w:p>
    <w:p w14:paraId="2A10D46D" w14:textId="60688646" w:rsidR="00C32B4A" w:rsidRPr="00B07225" w:rsidRDefault="005E6AD7" w:rsidP="00DA52AA">
      <w:pPr>
        <w:jc w:val="both"/>
        <w:rPr>
          <w:rFonts w:ascii="Times New Roman" w:hAnsi="Times New Roman" w:cs="Times New Roman"/>
          <w:sz w:val="24"/>
          <w:szCs w:val="24"/>
        </w:rPr>
      </w:pPr>
      <w:r w:rsidRPr="00B07225">
        <w:rPr>
          <w:rFonts w:ascii="Times New Roman" w:hAnsi="Times New Roman" w:cs="Times New Roman"/>
          <w:noProof/>
        </w:rPr>
        <w:drawing>
          <wp:inline distT="0" distB="0" distL="0" distR="0" wp14:anchorId="49C36F88" wp14:editId="355CAE21">
            <wp:extent cx="5760720" cy="8201025"/>
            <wp:effectExtent l="0" t="0" r="0" b="9525"/>
            <wp:docPr id="1956404879"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8201025"/>
                    </a:xfrm>
                    <a:prstGeom prst="rect">
                      <a:avLst/>
                    </a:prstGeom>
                    <a:noFill/>
                    <a:ln>
                      <a:noFill/>
                    </a:ln>
                  </pic:spPr>
                </pic:pic>
              </a:graphicData>
            </a:graphic>
          </wp:inline>
        </w:drawing>
      </w:r>
    </w:p>
    <w:p w14:paraId="0EC857F5" w14:textId="0F0F7E2F" w:rsidR="009446F9" w:rsidRPr="00B07225" w:rsidRDefault="005E6AD7" w:rsidP="00DA52AA">
      <w:pPr>
        <w:jc w:val="both"/>
        <w:rPr>
          <w:rFonts w:ascii="Times New Roman" w:hAnsi="Times New Roman" w:cs="Times New Roman"/>
          <w:sz w:val="24"/>
          <w:szCs w:val="24"/>
        </w:rPr>
      </w:pPr>
      <w:r w:rsidRPr="00B07225">
        <w:rPr>
          <w:rFonts w:ascii="Times New Roman" w:hAnsi="Times New Roman" w:cs="Times New Roman"/>
          <w:noProof/>
        </w:rPr>
        <w:lastRenderedPageBreak/>
        <w:drawing>
          <wp:inline distT="0" distB="0" distL="0" distR="0" wp14:anchorId="4F9EEC20" wp14:editId="157D9D7D">
            <wp:extent cx="5533390" cy="8892540"/>
            <wp:effectExtent l="0" t="0" r="0" b="3810"/>
            <wp:docPr id="256271785"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3390" cy="8892540"/>
                    </a:xfrm>
                    <a:prstGeom prst="rect">
                      <a:avLst/>
                    </a:prstGeom>
                    <a:noFill/>
                    <a:ln>
                      <a:noFill/>
                    </a:ln>
                  </pic:spPr>
                </pic:pic>
              </a:graphicData>
            </a:graphic>
          </wp:inline>
        </w:drawing>
      </w:r>
    </w:p>
    <w:p w14:paraId="3D871AAB" w14:textId="72C474F0" w:rsidR="009446F9" w:rsidRDefault="003C4D33" w:rsidP="003C4D33">
      <w:pPr>
        <w:pStyle w:val="Naslov1"/>
      </w:pPr>
      <w:bookmarkStart w:id="17" w:name="_Toc161740992"/>
      <w:r>
        <w:lastRenderedPageBreak/>
        <w:t xml:space="preserve">3.2. </w:t>
      </w:r>
      <w:r w:rsidR="00987C78">
        <w:t>OBRAZLOŽENJE POSEBNOG DIJELA</w:t>
      </w:r>
      <w:bookmarkEnd w:id="17"/>
    </w:p>
    <w:p w14:paraId="734193C3" w14:textId="77777777" w:rsidR="00987C78" w:rsidRDefault="00987C78" w:rsidP="00987C78">
      <w:pPr>
        <w:pStyle w:val="Naslov1"/>
        <w:ind w:left="0"/>
      </w:pPr>
    </w:p>
    <w:p w14:paraId="17CDEFC2"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5273B546" w14:textId="77777777" w:rsidR="00987C78" w:rsidRPr="00987C78" w:rsidRDefault="00987C78" w:rsidP="00987C78">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lang w:val="sl-SI"/>
        </w:rPr>
      </w:pPr>
      <w:bookmarkStart w:id="18" w:name="_Toc161740993"/>
      <w:r w:rsidRPr="00987C78">
        <w:rPr>
          <w:rFonts w:ascii="Times New Roman" w:eastAsia="Times New Roman" w:hAnsi="Times New Roman" w:cs="Times New Roman"/>
          <w:b/>
          <w:iCs/>
          <w:spacing w:val="20"/>
          <w:sz w:val="28"/>
          <w:szCs w:val="28"/>
          <w:lang w:val="sl-SI"/>
        </w:rPr>
        <w:t>51263 Javna ustanova Lučka uprava Slavonski Brod</w:t>
      </w:r>
      <w:bookmarkEnd w:id="18"/>
    </w:p>
    <w:p w14:paraId="3BFE296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Lučka uprava Slavonski Brod je javna ustanova koju je osnovala Republika Hrvatska na temelju odredbi Zakona o lukama unutarnjih voda 2001. godine. Obavljanje djelatnosti uređeno je temeljem Zakona o plovidbi i lukama unutarnjih voda i Uredbe o upravljanju i vođenju poslova lučkih uprava unutarnjih voda.   </w:t>
      </w:r>
    </w:p>
    <w:p w14:paraId="20882320"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Javna ustanova Lučka uprava Slavonski Brod obavlja poslove izgradnje, modernizacije i održavanja lučkih građevina u ime Republike Hrvatske, upravlja nekretninama na lučkom području na kojima ima pravo građenja, održava red u luci, održava visoki stupanj sigurnosti i zaštite okoliša u luci i druge poslove iz svoje nadležnosti.</w:t>
      </w:r>
    </w:p>
    <w:tbl>
      <w:tblPr>
        <w:tblStyle w:val="StilTablice"/>
        <w:tblW w:w="10206" w:type="dxa"/>
        <w:jc w:val="center"/>
        <w:tblLook w:val="04A0" w:firstRow="1" w:lastRow="0" w:firstColumn="1" w:lastColumn="0" w:noHBand="0" w:noVBand="1"/>
      </w:tblPr>
      <w:tblGrid>
        <w:gridCol w:w="1815"/>
        <w:gridCol w:w="1987"/>
        <w:gridCol w:w="1987"/>
        <w:gridCol w:w="1988"/>
        <w:gridCol w:w="1212"/>
        <w:gridCol w:w="1217"/>
      </w:tblGrid>
      <w:tr w:rsidR="00987C78" w:rsidRPr="00987C78" w14:paraId="2368CF86" w14:textId="77777777" w:rsidTr="00B26639">
        <w:trPr>
          <w:jc w:val="center"/>
        </w:trPr>
        <w:tc>
          <w:tcPr>
            <w:tcW w:w="1632" w:type="dxa"/>
            <w:shd w:val="clear" w:color="auto" w:fill="B5C0D8"/>
          </w:tcPr>
          <w:p w14:paraId="21B84503"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p>
        </w:tc>
        <w:tc>
          <w:tcPr>
            <w:tcW w:w="2041" w:type="dxa"/>
            <w:shd w:val="clear" w:color="auto" w:fill="B5C0D8"/>
          </w:tcPr>
          <w:p w14:paraId="353C5B62"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678A8987"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48CAF27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2CC45A5B"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03CB2576"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2023./2022.</w:t>
            </w:r>
          </w:p>
        </w:tc>
      </w:tr>
      <w:tr w:rsidR="00987C78" w:rsidRPr="00987C78" w14:paraId="6DEE88BF" w14:textId="77777777" w:rsidTr="00B26639">
        <w:trPr>
          <w:jc w:val="center"/>
        </w:trPr>
        <w:tc>
          <w:tcPr>
            <w:tcW w:w="1632" w:type="dxa"/>
          </w:tcPr>
          <w:p w14:paraId="06EE0F3D"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51263-Javna ustanova Lučka uprava Slavonski Brod</w:t>
            </w:r>
          </w:p>
        </w:tc>
        <w:tc>
          <w:tcPr>
            <w:tcW w:w="2041" w:type="dxa"/>
          </w:tcPr>
          <w:p w14:paraId="75CB5C8A"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5.832.232</w:t>
            </w:r>
          </w:p>
        </w:tc>
        <w:tc>
          <w:tcPr>
            <w:tcW w:w="2041" w:type="dxa"/>
          </w:tcPr>
          <w:p w14:paraId="15AA21F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5.591.505</w:t>
            </w:r>
          </w:p>
        </w:tc>
        <w:tc>
          <w:tcPr>
            <w:tcW w:w="2041" w:type="dxa"/>
          </w:tcPr>
          <w:p w14:paraId="3AE659CC"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4.986.104</w:t>
            </w:r>
          </w:p>
        </w:tc>
        <w:tc>
          <w:tcPr>
            <w:tcW w:w="1224" w:type="dxa"/>
          </w:tcPr>
          <w:p w14:paraId="320FC91E"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89,2</w:t>
            </w:r>
          </w:p>
        </w:tc>
        <w:tc>
          <w:tcPr>
            <w:tcW w:w="1224" w:type="dxa"/>
          </w:tcPr>
          <w:p w14:paraId="22A34DD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85,5</w:t>
            </w:r>
          </w:p>
        </w:tc>
      </w:tr>
      <w:tr w:rsidR="00987C78" w:rsidRPr="00987C78" w14:paraId="29ADFD6D" w14:textId="77777777" w:rsidTr="00B26639">
        <w:trPr>
          <w:jc w:val="center"/>
        </w:trPr>
        <w:tc>
          <w:tcPr>
            <w:tcW w:w="1632" w:type="dxa"/>
          </w:tcPr>
          <w:p w14:paraId="7300FE72" w14:textId="77777777" w:rsidR="00987C78" w:rsidRPr="00987C78" w:rsidRDefault="00987C78" w:rsidP="00987C78">
            <w:pPr>
              <w:overflowPunct w:val="0"/>
              <w:autoSpaceDE w:val="0"/>
              <w:autoSpaceDN w:val="0"/>
              <w:adjustRightInd w:val="0"/>
              <w:textAlignment w:val="baseline"/>
              <w:rPr>
                <w:rFonts w:eastAsia="Times New Roman" w:cs="Times New Roman"/>
                <w:szCs w:val="20"/>
                <w:lang w:val="sl-SI"/>
              </w:rPr>
            </w:pPr>
            <w:r w:rsidRPr="00987C78">
              <w:rPr>
                <w:rFonts w:eastAsia="Times New Roman" w:cs="Times New Roman"/>
                <w:szCs w:val="20"/>
                <w:lang w:val="sl-SI"/>
              </w:rPr>
              <w:t>3111-PRIPREMA I PROVEDBA PROJEKATA SUFINANCIRANIH SREDSTVIMA FONDOVA EU</w:t>
            </w:r>
          </w:p>
        </w:tc>
        <w:tc>
          <w:tcPr>
            <w:tcW w:w="2041" w:type="dxa"/>
          </w:tcPr>
          <w:p w14:paraId="082E4D62"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00</w:t>
            </w:r>
          </w:p>
        </w:tc>
        <w:tc>
          <w:tcPr>
            <w:tcW w:w="2041" w:type="dxa"/>
          </w:tcPr>
          <w:p w14:paraId="735B66B7"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7.000</w:t>
            </w:r>
          </w:p>
        </w:tc>
        <w:tc>
          <w:tcPr>
            <w:tcW w:w="2041" w:type="dxa"/>
          </w:tcPr>
          <w:p w14:paraId="14806A93"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00</w:t>
            </w:r>
          </w:p>
        </w:tc>
        <w:tc>
          <w:tcPr>
            <w:tcW w:w="1224" w:type="dxa"/>
          </w:tcPr>
          <w:p w14:paraId="1D85590E"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0,0</w:t>
            </w:r>
          </w:p>
        </w:tc>
        <w:tc>
          <w:tcPr>
            <w:tcW w:w="1224" w:type="dxa"/>
          </w:tcPr>
          <w:p w14:paraId="1FB624C9"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0,0</w:t>
            </w:r>
          </w:p>
        </w:tc>
      </w:tr>
      <w:tr w:rsidR="00987C78" w:rsidRPr="00987C78" w14:paraId="3E92104C" w14:textId="77777777" w:rsidTr="00B26639">
        <w:trPr>
          <w:jc w:val="center"/>
        </w:trPr>
        <w:tc>
          <w:tcPr>
            <w:tcW w:w="1632" w:type="dxa"/>
          </w:tcPr>
          <w:p w14:paraId="12E0003D" w14:textId="77777777" w:rsidR="00987C78" w:rsidRPr="00987C78" w:rsidRDefault="00987C78" w:rsidP="00987C78">
            <w:pPr>
              <w:overflowPunct w:val="0"/>
              <w:autoSpaceDE w:val="0"/>
              <w:autoSpaceDN w:val="0"/>
              <w:adjustRightInd w:val="0"/>
              <w:textAlignment w:val="baseline"/>
              <w:rPr>
                <w:rFonts w:eastAsia="Times New Roman" w:cs="Times New Roman"/>
                <w:szCs w:val="20"/>
                <w:lang w:val="sl-SI"/>
              </w:rPr>
            </w:pPr>
            <w:r w:rsidRPr="00987C78">
              <w:rPr>
                <w:rFonts w:eastAsia="Times New Roman" w:cs="Times New Roman"/>
                <w:szCs w:val="20"/>
                <w:lang w:val="sl-SI"/>
              </w:rPr>
              <w:t>3115-RAZVOJ UNUTARNJE PLOVIDBE</w:t>
            </w:r>
          </w:p>
        </w:tc>
        <w:tc>
          <w:tcPr>
            <w:tcW w:w="2041" w:type="dxa"/>
          </w:tcPr>
          <w:p w14:paraId="3675DC22"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5.832.232</w:t>
            </w:r>
          </w:p>
        </w:tc>
        <w:tc>
          <w:tcPr>
            <w:tcW w:w="2041" w:type="dxa"/>
          </w:tcPr>
          <w:p w14:paraId="628AD220"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5.584.505</w:t>
            </w:r>
          </w:p>
        </w:tc>
        <w:tc>
          <w:tcPr>
            <w:tcW w:w="2041" w:type="dxa"/>
          </w:tcPr>
          <w:p w14:paraId="02AC044C"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4.986.104</w:t>
            </w:r>
          </w:p>
        </w:tc>
        <w:tc>
          <w:tcPr>
            <w:tcW w:w="1224" w:type="dxa"/>
          </w:tcPr>
          <w:p w14:paraId="1C2D95F4"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89,3</w:t>
            </w:r>
          </w:p>
        </w:tc>
        <w:tc>
          <w:tcPr>
            <w:tcW w:w="1224" w:type="dxa"/>
          </w:tcPr>
          <w:p w14:paraId="1BDE69EB" w14:textId="77777777" w:rsidR="00987C78" w:rsidRPr="00987C78" w:rsidRDefault="00987C78" w:rsidP="00987C78">
            <w:pPr>
              <w:overflowPunct w:val="0"/>
              <w:autoSpaceDE w:val="0"/>
              <w:autoSpaceDN w:val="0"/>
              <w:adjustRightInd w:val="0"/>
              <w:jc w:val="right"/>
              <w:textAlignment w:val="baseline"/>
              <w:rPr>
                <w:rFonts w:eastAsia="Times New Roman" w:cs="Times New Roman"/>
                <w:szCs w:val="20"/>
                <w:lang w:val="sl-SI"/>
              </w:rPr>
            </w:pPr>
            <w:r w:rsidRPr="00987C78">
              <w:rPr>
                <w:rFonts w:eastAsia="Times New Roman" w:cs="Times New Roman"/>
                <w:szCs w:val="20"/>
                <w:lang w:val="sl-SI"/>
              </w:rPr>
              <w:t>85,5</w:t>
            </w:r>
          </w:p>
        </w:tc>
      </w:tr>
    </w:tbl>
    <w:p w14:paraId="048808BB"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1C3AE98" w14:textId="77777777" w:rsidR="00987C78" w:rsidRPr="00987C78" w:rsidRDefault="00987C78" w:rsidP="00987C78">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lang w:val="sl-SI"/>
        </w:rPr>
      </w:pPr>
      <w:bookmarkStart w:id="19" w:name="_Toc161740994"/>
      <w:r w:rsidRPr="00987C78">
        <w:rPr>
          <w:rFonts w:ascii="Times New Roman" w:eastAsia="Times New Roman" w:hAnsi="Times New Roman" w:cs="Times New Roman"/>
          <w:b/>
          <w:iCs/>
          <w:spacing w:val="20"/>
          <w:sz w:val="28"/>
          <w:szCs w:val="28"/>
          <w:lang w:val="sl-SI"/>
        </w:rPr>
        <w:t>3111 PRIPREMA I PROVEDBA PROJEKATA SUFINANCIRANIH SREDSTVIMA FONDOVA EU</w:t>
      </w:r>
      <w:bookmarkEnd w:id="19"/>
    </w:p>
    <w:tbl>
      <w:tblPr>
        <w:tblStyle w:val="StilTablice"/>
        <w:tblW w:w="10206" w:type="dxa"/>
        <w:jc w:val="center"/>
        <w:tblLook w:val="04A0" w:firstRow="1" w:lastRow="0" w:firstColumn="1" w:lastColumn="0" w:noHBand="0" w:noVBand="1"/>
      </w:tblPr>
      <w:tblGrid>
        <w:gridCol w:w="1815"/>
        <w:gridCol w:w="1990"/>
        <w:gridCol w:w="1979"/>
        <w:gridCol w:w="1991"/>
        <w:gridCol w:w="1213"/>
        <w:gridCol w:w="1218"/>
      </w:tblGrid>
      <w:tr w:rsidR="00987C78" w:rsidRPr="00987C78" w14:paraId="458011AB" w14:textId="77777777" w:rsidTr="00B26639">
        <w:trPr>
          <w:jc w:val="center"/>
        </w:trPr>
        <w:tc>
          <w:tcPr>
            <w:tcW w:w="1632" w:type="dxa"/>
            <w:shd w:val="clear" w:color="auto" w:fill="B5C0D8"/>
          </w:tcPr>
          <w:p w14:paraId="7B0DF40D" w14:textId="77777777" w:rsidR="00987C78" w:rsidRPr="00987C78" w:rsidRDefault="00987C78" w:rsidP="00987C78">
            <w:pPr>
              <w:overflowPunct w:val="0"/>
              <w:autoSpaceDE w:val="0"/>
              <w:autoSpaceDN w:val="0"/>
              <w:adjustRightInd w:val="0"/>
              <w:jc w:val="both"/>
              <w:textAlignment w:val="baseline"/>
              <w:rPr>
                <w:rFonts w:eastAsia="Times New Roman" w:cs="Arial"/>
                <w:bCs/>
                <w:lang w:val="sl-SI" w:eastAsia="hr-HR"/>
              </w:rPr>
            </w:pPr>
          </w:p>
        </w:tc>
        <w:tc>
          <w:tcPr>
            <w:tcW w:w="2041" w:type="dxa"/>
            <w:shd w:val="clear" w:color="auto" w:fill="B5C0D8"/>
          </w:tcPr>
          <w:p w14:paraId="61589A3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1F214E2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5BC01904"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738C890A"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7172359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Index izvršenje 2023./2022.</w:t>
            </w:r>
          </w:p>
        </w:tc>
      </w:tr>
      <w:tr w:rsidR="00987C78" w:rsidRPr="00987C78" w14:paraId="245FE04D" w14:textId="77777777" w:rsidTr="00B26639">
        <w:trPr>
          <w:jc w:val="center"/>
        </w:trPr>
        <w:tc>
          <w:tcPr>
            <w:tcW w:w="1632" w:type="dxa"/>
          </w:tcPr>
          <w:p w14:paraId="5D329F2B"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3111-PRIPREMA I PROVEDBA PROJEKATA SUFINANCIRANIH SREDSTVIMA FONDOVA EU</w:t>
            </w:r>
          </w:p>
        </w:tc>
        <w:tc>
          <w:tcPr>
            <w:tcW w:w="2041" w:type="dxa"/>
          </w:tcPr>
          <w:p w14:paraId="7A110A7C"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c>
          <w:tcPr>
            <w:tcW w:w="2041" w:type="dxa"/>
          </w:tcPr>
          <w:p w14:paraId="7ACC3D64"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7.000</w:t>
            </w:r>
          </w:p>
        </w:tc>
        <w:tc>
          <w:tcPr>
            <w:tcW w:w="2041" w:type="dxa"/>
          </w:tcPr>
          <w:p w14:paraId="085C196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c>
          <w:tcPr>
            <w:tcW w:w="1224" w:type="dxa"/>
          </w:tcPr>
          <w:p w14:paraId="5046F91A"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c>
          <w:tcPr>
            <w:tcW w:w="1224" w:type="dxa"/>
          </w:tcPr>
          <w:p w14:paraId="4DCF4A3D"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r>
    </w:tbl>
    <w:p w14:paraId="0D2CB128"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6951471" w14:textId="77777777" w:rsidR="00987C78" w:rsidRPr="00987C78" w:rsidRDefault="00987C78" w:rsidP="00987C7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987C78">
        <w:rPr>
          <w:rFonts w:ascii="Times New Roman" w:eastAsia="Times New Roman" w:hAnsi="Times New Roman" w:cs="Times New Roman"/>
          <w:b/>
          <w:bCs/>
          <w:sz w:val="28"/>
          <w:szCs w:val="28"/>
          <w:lang w:val="sl-SI"/>
        </w:rPr>
        <w:lastRenderedPageBreak/>
        <w:t>K928006 NPOO - C1.4. R3-I4 OPREMANJE LUKA I PRISTANIŠTA INFRASTRUKTUROM ZA ZBRINJAVANJE OTPADA - LU SL. BROD</w:t>
      </w:r>
    </w:p>
    <w:tbl>
      <w:tblPr>
        <w:tblStyle w:val="StilTablice"/>
        <w:tblW w:w="10206" w:type="dxa"/>
        <w:jc w:val="center"/>
        <w:tblLook w:val="04A0" w:firstRow="1" w:lastRow="0" w:firstColumn="1" w:lastColumn="0" w:noHBand="0" w:noVBand="1"/>
      </w:tblPr>
      <w:tblGrid>
        <w:gridCol w:w="2093"/>
        <w:gridCol w:w="1913"/>
        <w:gridCol w:w="1883"/>
        <w:gridCol w:w="1913"/>
        <w:gridCol w:w="1196"/>
        <w:gridCol w:w="1208"/>
      </w:tblGrid>
      <w:tr w:rsidR="00987C78" w:rsidRPr="00987C78" w14:paraId="422D5196" w14:textId="77777777" w:rsidTr="00B26639">
        <w:trPr>
          <w:jc w:val="center"/>
        </w:trPr>
        <w:tc>
          <w:tcPr>
            <w:tcW w:w="1632" w:type="dxa"/>
            <w:shd w:val="clear" w:color="auto" w:fill="B5C0D8"/>
          </w:tcPr>
          <w:p w14:paraId="203DDC6A"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Naziv aktivnosti</w:t>
            </w:r>
          </w:p>
        </w:tc>
        <w:tc>
          <w:tcPr>
            <w:tcW w:w="2041" w:type="dxa"/>
            <w:shd w:val="clear" w:color="auto" w:fill="B5C0D8"/>
          </w:tcPr>
          <w:p w14:paraId="003D8C2E"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543760A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6B82E8DD"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182C4F7D"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76F222C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2023./2022.</w:t>
            </w:r>
          </w:p>
        </w:tc>
      </w:tr>
      <w:tr w:rsidR="00987C78" w:rsidRPr="00987C78" w14:paraId="6858E211" w14:textId="77777777" w:rsidTr="00B26639">
        <w:trPr>
          <w:jc w:val="center"/>
        </w:trPr>
        <w:tc>
          <w:tcPr>
            <w:tcW w:w="1632" w:type="dxa"/>
          </w:tcPr>
          <w:p w14:paraId="5F9FB5F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K928006-NPOO - C1.4. R3-I4 OPREMANJE LUKA I PRISTANIŠTA INFRASTRUKTUROM ZA ZBRINJAVANJE OTPADA - LU SL. BROD</w:t>
            </w:r>
          </w:p>
        </w:tc>
        <w:tc>
          <w:tcPr>
            <w:tcW w:w="2041" w:type="dxa"/>
          </w:tcPr>
          <w:p w14:paraId="0D13BF36"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c>
          <w:tcPr>
            <w:tcW w:w="2041" w:type="dxa"/>
          </w:tcPr>
          <w:p w14:paraId="499B3A3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7.000</w:t>
            </w:r>
          </w:p>
        </w:tc>
        <w:tc>
          <w:tcPr>
            <w:tcW w:w="2041" w:type="dxa"/>
          </w:tcPr>
          <w:p w14:paraId="6315CB70"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c>
          <w:tcPr>
            <w:tcW w:w="1224" w:type="dxa"/>
          </w:tcPr>
          <w:p w14:paraId="562A7801"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c>
          <w:tcPr>
            <w:tcW w:w="1224" w:type="dxa"/>
          </w:tcPr>
          <w:p w14:paraId="364AA2E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0,0</w:t>
            </w:r>
          </w:p>
        </w:tc>
      </w:tr>
    </w:tbl>
    <w:p w14:paraId="34E59811"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6707A19C"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Zakonske i druge pravne osnove</w:t>
      </w:r>
    </w:p>
    <w:p w14:paraId="2ACFCAE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Zakon o plovidbi i lukama unutarnjih voda  </w:t>
      </w:r>
    </w:p>
    <w:p w14:paraId="00A86CC5"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Uredba EU 2021/241 Europskog parlamenta i Vijeća od 12. veljače 2021. o uspostavi Mehanizma za oporavak i otpornost</w:t>
      </w:r>
    </w:p>
    <w:p w14:paraId="58617B69"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Opis aktivnosti</w:t>
      </w:r>
    </w:p>
    <w:p w14:paraId="2EC84DA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Javna ustanova Lučka uprava Slavonski Brod je za potrebe prijave projekta za dodjelu bespovratnih sredstava izradila projektni zadatak koji je temelj za daljnji rad na prijavi projekta za dodjelu bespovratnih sredstava.  </w:t>
      </w:r>
    </w:p>
    <w:p w14:paraId="5558C5A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Planirana lokacija izgradnje je u mjestu Davor gdje će terminal za prikupljanje otpada sa plovila  biti u sklopu izgradnje putničkog pristaništa.  </w:t>
      </w:r>
    </w:p>
    <w:p w14:paraId="49A48A4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Ishođeno je mišljenje nadležnog Upravnog odjela za graditeljstvo, infrastrukturu i zaštitu okoliša Brodsko – posavske županije o mogućem utjecaju na okoliš planiranog zahvata u kojemu je navedeno da projekt nema bitni i mogući značajan utjecaj na okoliš. </w:t>
      </w:r>
    </w:p>
    <w:p w14:paraId="48591550" w14:textId="77777777" w:rsid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Do kraja 2023. godine u tijeku je usklađivanje sa prijavom za dodjelu bespovratnih sredstava u sklopu Nacionalnog plana oporavka i otpornosti u dogovoru sa Lučkom upravom Osijek i Lučkom upravom Vukovar.</w:t>
      </w:r>
    </w:p>
    <w:p w14:paraId="5EFA7DA4"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1C938A43" w14:textId="77777777" w:rsidR="00987C78" w:rsidRPr="00987C78" w:rsidRDefault="00987C78" w:rsidP="00987C78">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b/>
          <w:iCs/>
          <w:spacing w:val="20"/>
          <w:sz w:val="28"/>
          <w:szCs w:val="28"/>
          <w:lang w:val="sl-SI"/>
        </w:rPr>
      </w:pPr>
      <w:bookmarkStart w:id="20" w:name="_Toc161740995"/>
      <w:r w:rsidRPr="00987C78">
        <w:rPr>
          <w:rFonts w:ascii="Times New Roman" w:eastAsia="Times New Roman" w:hAnsi="Times New Roman" w:cs="Times New Roman"/>
          <w:b/>
          <w:iCs/>
          <w:spacing w:val="20"/>
          <w:sz w:val="28"/>
          <w:szCs w:val="28"/>
          <w:lang w:val="sl-SI"/>
        </w:rPr>
        <w:t>3115 RAZVOJ UNUTARNJE PLOVIDBE</w:t>
      </w:r>
      <w:bookmarkEnd w:id="20"/>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87C78" w:rsidRPr="00987C78" w14:paraId="7C89CA83" w14:textId="77777777" w:rsidTr="00B26639">
        <w:trPr>
          <w:jc w:val="center"/>
        </w:trPr>
        <w:tc>
          <w:tcPr>
            <w:tcW w:w="1632" w:type="dxa"/>
            <w:shd w:val="clear" w:color="auto" w:fill="B5C0D8"/>
          </w:tcPr>
          <w:p w14:paraId="632BEAE7" w14:textId="77777777" w:rsidR="00987C78" w:rsidRPr="00987C78" w:rsidRDefault="00987C78" w:rsidP="00987C78">
            <w:pPr>
              <w:overflowPunct w:val="0"/>
              <w:autoSpaceDE w:val="0"/>
              <w:autoSpaceDN w:val="0"/>
              <w:adjustRightInd w:val="0"/>
              <w:jc w:val="both"/>
              <w:textAlignment w:val="baseline"/>
              <w:rPr>
                <w:rFonts w:eastAsia="Times New Roman" w:cs="Arial"/>
                <w:bCs/>
                <w:lang w:val="sl-SI" w:eastAsia="hr-HR"/>
              </w:rPr>
            </w:pPr>
          </w:p>
        </w:tc>
        <w:tc>
          <w:tcPr>
            <w:tcW w:w="2041" w:type="dxa"/>
            <w:shd w:val="clear" w:color="auto" w:fill="B5C0D8"/>
          </w:tcPr>
          <w:p w14:paraId="26DF9376"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6A28CCCA"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3A4540B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0DCFA1F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718453A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Index izvršenje 2023./2022.</w:t>
            </w:r>
          </w:p>
        </w:tc>
      </w:tr>
      <w:tr w:rsidR="00987C78" w:rsidRPr="00987C78" w14:paraId="543714CC" w14:textId="77777777" w:rsidTr="00B26639">
        <w:trPr>
          <w:jc w:val="center"/>
        </w:trPr>
        <w:tc>
          <w:tcPr>
            <w:tcW w:w="1632" w:type="dxa"/>
          </w:tcPr>
          <w:p w14:paraId="4D2B013E"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3115-RAZVOJ UNUTARNJE PLOVIDBE</w:t>
            </w:r>
          </w:p>
        </w:tc>
        <w:tc>
          <w:tcPr>
            <w:tcW w:w="2041" w:type="dxa"/>
          </w:tcPr>
          <w:p w14:paraId="05DB98E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5.832.232</w:t>
            </w:r>
          </w:p>
        </w:tc>
        <w:tc>
          <w:tcPr>
            <w:tcW w:w="2041" w:type="dxa"/>
          </w:tcPr>
          <w:p w14:paraId="548535D9"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5.584.505</w:t>
            </w:r>
          </w:p>
        </w:tc>
        <w:tc>
          <w:tcPr>
            <w:tcW w:w="2041" w:type="dxa"/>
          </w:tcPr>
          <w:p w14:paraId="156FA991"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4.986.104</w:t>
            </w:r>
          </w:p>
        </w:tc>
        <w:tc>
          <w:tcPr>
            <w:tcW w:w="1224" w:type="dxa"/>
          </w:tcPr>
          <w:p w14:paraId="77C8CA1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89,3</w:t>
            </w:r>
          </w:p>
        </w:tc>
        <w:tc>
          <w:tcPr>
            <w:tcW w:w="1224" w:type="dxa"/>
          </w:tcPr>
          <w:p w14:paraId="6CFD807C"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85,5</w:t>
            </w:r>
          </w:p>
        </w:tc>
      </w:tr>
    </w:tbl>
    <w:p w14:paraId="6025CAC5"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24E0E0A7"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lastRenderedPageBreak/>
        <w:t>Cilj 1. Razvijen sustav unutarnje plovidbe</w:t>
      </w:r>
    </w:p>
    <w:p w14:paraId="62172E86"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Opis provedbe cilja programa</w:t>
      </w:r>
    </w:p>
    <w:p w14:paraId="2E60ABF0"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Povećanjem izgrađenosti infrastrukture u luci Slavonski Brod stvaraju se preduvjeti za povećanje prometa u luci. Promet obuhvaća prijevoz putnika i pretovar šljunka, pijeska, sirove nafte, šećera, kontejnera i ostale robe. Zbog tržišnih fluktuacija došlo je do smanjenja pretovara u luci, stoga je i ostvarena manja ciljana vrijednost za 2023. godinu.</w:t>
      </w:r>
    </w:p>
    <w:p w14:paraId="4DB0E72F"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87C78" w:rsidRPr="00987C78" w14:paraId="2574B4AF" w14:textId="77777777" w:rsidTr="00B26639">
        <w:trPr>
          <w:jc w:val="center"/>
        </w:trPr>
        <w:tc>
          <w:tcPr>
            <w:tcW w:w="2551" w:type="dxa"/>
            <w:shd w:val="clear" w:color="auto" w:fill="B5C0D8"/>
          </w:tcPr>
          <w:p w14:paraId="16A1DD7A" w14:textId="77777777" w:rsidR="00987C78" w:rsidRPr="00987C78" w:rsidRDefault="00987C78" w:rsidP="00987C78">
            <w:pPr>
              <w:overflowPunct w:val="0"/>
              <w:autoSpaceDE w:val="0"/>
              <w:autoSpaceDN w:val="0"/>
              <w:adjustRightInd w:val="0"/>
              <w:textAlignment w:val="baseline"/>
              <w:rPr>
                <w:rFonts w:eastAsia="Times New Roman" w:cs="Times New Roman"/>
                <w:szCs w:val="20"/>
                <w:lang w:val="sl-SI"/>
              </w:rPr>
            </w:pPr>
            <w:r w:rsidRPr="00987C78">
              <w:rPr>
                <w:rFonts w:eastAsia="Times New Roman" w:cs="Times New Roman"/>
                <w:szCs w:val="20"/>
                <w:lang w:val="sl-SI"/>
              </w:rPr>
              <w:t>Pokazatelj učinka</w:t>
            </w:r>
          </w:p>
        </w:tc>
        <w:tc>
          <w:tcPr>
            <w:tcW w:w="2551" w:type="dxa"/>
            <w:shd w:val="clear" w:color="auto" w:fill="B5C0D8"/>
          </w:tcPr>
          <w:p w14:paraId="5ABA5E4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Definicija</w:t>
            </w:r>
          </w:p>
        </w:tc>
        <w:tc>
          <w:tcPr>
            <w:tcW w:w="1020" w:type="dxa"/>
            <w:shd w:val="clear" w:color="auto" w:fill="B5C0D8"/>
          </w:tcPr>
          <w:p w14:paraId="3ABF6BD0"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Jedinica</w:t>
            </w:r>
          </w:p>
        </w:tc>
        <w:tc>
          <w:tcPr>
            <w:tcW w:w="1020" w:type="dxa"/>
            <w:shd w:val="clear" w:color="auto" w:fill="B5C0D8"/>
          </w:tcPr>
          <w:p w14:paraId="5C97CFD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Polazna vrijednost</w:t>
            </w:r>
          </w:p>
        </w:tc>
        <w:tc>
          <w:tcPr>
            <w:tcW w:w="1020" w:type="dxa"/>
            <w:shd w:val="clear" w:color="auto" w:fill="B5C0D8"/>
          </w:tcPr>
          <w:p w14:paraId="470E7886"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Izvor podataka</w:t>
            </w:r>
          </w:p>
        </w:tc>
        <w:tc>
          <w:tcPr>
            <w:tcW w:w="1020" w:type="dxa"/>
            <w:shd w:val="clear" w:color="auto" w:fill="B5C0D8"/>
          </w:tcPr>
          <w:p w14:paraId="113296B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Ciljana vrijednost (2023.)</w:t>
            </w:r>
          </w:p>
        </w:tc>
        <w:tc>
          <w:tcPr>
            <w:tcW w:w="1020" w:type="dxa"/>
            <w:shd w:val="clear" w:color="auto" w:fill="B5C0D8"/>
          </w:tcPr>
          <w:p w14:paraId="5CCC520D"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Ostvarena vrijednost (2023.)</w:t>
            </w:r>
          </w:p>
        </w:tc>
      </w:tr>
      <w:tr w:rsidR="00987C78" w:rsidRPr="00987C78" w14:paraId="6557CFB6" w14:textId="77777777" w:rsidTr="00B26639">
        <w:trPr>
          <w:jc w:val="center"/>
        </w:trPr>
        <w:tc>
          <w:tcPr>
            <w:tcW w:w="2551" w:type="dxa"/>
          </w:tcPr>
          <w:p w14:paraId="09447000"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Povećanje količine prekrcajnog tereta u luci Slavonski Brod</w:t>
            </w:r>
          </w:p>
        </w:tc>
        <w:tc>
          <w:tcPr>
            <w:tcW w:w="2551" w:type="dxa"/>
          </w:tcPr>
          <w:p w14:paraId="21895BFC"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Ukupna količina prekrcajnog tereta u luci Slavonski Brod</w:t>
            </w:r>
          </w:p>
        </w:tc>
        <w:tc>
          <w:tcPr>
            <w:tcW w:w="1020" w:type="dxa"/>
          </w:tcPr>
          <w:p w14:paraId="2D9A9DED"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tona</w:t>
            </w:r>
          </w:p>
        </w:tc>
        <w:tc>
          <w:tcPr>
            <w:tcW w:w="1020" w:type="dxa"/>
          </w:tcPr>
          <w:p w14:paraId="1FA95C99"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191.675</w:t>
            </w:r>
          </w:p>
        </w:tc>
        <w:tc>
          <w:tcPr>
            <w:tcW w:w="918" w:type="dxa"/>
          </w:tcPr>
          <w:p w14:paraId="3F5228B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Lučka uprava Slavonski Brod</w:t>
            </w:r>
          </w:p>
        </w:tc>
        <w:tc>
          <w:tcPr>
            <w:tcW w:w="1020" w:type="dxa"/>
          </w:tcPr>
          <w:p w14:paraId="4DF07A66"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220.000</w:t>
            </w:r>
          </w:p>
        </w:tc>
        <w:tc>
          <w:tcPr>
            <w:tcW w:w="1020" w:type="dxa"/>
          </w:tcPr>
          <w:p w14:paraId="1D94824F"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180.464</w:t>
            </w:r>
          </w:p>
        </w:tc>
      </w:tr>
    </w:tbl>
    <w:p w14:paraId="74C8701A"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4881805E" w14:textId="77777777" w:rsidR="00987C78" w:rsidRPr="00987C78" w:rsidRDefault="00987C78" w:rsidP="00987C7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987C78">
        <w:rPr>
          <w:rFonts w:ascii="Times New Roman" w:eastAsia="Times New Roman" w:hAnsi="Times New Roman" w:cs="Times New Roman"/>
          <w:b/>
          <w:bCs/>
          <w:sz w:val="28"/>
          <w:szCs w:val="28"/>
          <w:lang w:val="sl-SI"/>
        </w:rPr>
        <w:t>A928001 ADMINISTRACIJA I UPRAVLJANJE</w:t>
      </w:r>
    </w:p>
    <w:tbl>
      <w:tblPr>
        <w:tblStyle w:val="StilTablice"/>
        <w:tblW w:w="10206" w:type="dxa"/>
        <w:jc w:val="center"/>
        <w:tblLook w:val="04A0" w:firstRow="1" w:lastRow="0" w:firstColumn="1" w:lastColumn="0" w:noHBand="0" w:noVBand="1"/>
      </w:tblPr>
      <w:tblGrid>
        <w:gridCol w:w="1792"/>
        <w:gridCol w:w="1995"/>
        <w:gridCol w:w="1992"/>
        <w:gridCol w:w="1995"/>
        <w:gridCol w:w="1214"/>
        <w:gridCol w:w="1218"/>
      </w:tblGrid>
      <w:tr w:rsidR="00987C78" w:rsidRPr="00987C78" w14:paraId="6BBCE837" w14:textId="77777777" w:rsidTr="00B26639">
        <w:trPr>
          <w:jc w:val="center"/>
        </w:trPr>
        <w:tc>
          <w:tcPr>
            <w:tcW w:w="1632" w:type="dxa"/>
            <w:shd w:val="clear" w:color="auto" w:fill="B5C0D8"/>
          </w:tcPr>
          <w:p w14:paraId="2B2677C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Naziv aktivnosti</w:t>
            </w:r>
          </w:p>
        </w:tc>
        <w:tc>
          <w:tcPr>
            <w:tcW w:w="2041" w:type="dxa"/>
            <w:shd w:val="clear" w:color="auto" w:fill="B5C0D8"/>
          </w:tcPr>
          <w:p w14:paraId="7DCE012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630E482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35F2A8B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393EE57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3CF70663"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2023./2022.</w:t>
            </w:r>
          </w:p>
        </w:tc>
      </w:tr>
      <w:tr w:rsidR="00987C78" w:rsidRPr="00987C78" w14:paraId="67CA1885" w14:textId="77777777" w:rsidTr="00B26639">
        <w:trPr>
          <w:jc w:val="center"/>
        </w:trPr>
        <w:tc>
          <w:tcPr>
            <w:tcW w:w="1632" w:type="dxa"/>
          </w:tcPr>
          <w:p w14:paraId="4925878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A928001-ADMINISTRACIJA I UPRAVLJANJE</w:t>
            </w:r>
          </w:p>
        </w:tc>
        <w:tc>
          <w:tcPr>
            <w:tcW w:w="2041" w:type="dxa"/>
          </w:tcPr>
          <w:p w14:paraId="3FCD487E"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604.859</w:t>
            </w:r>
          </w:p>
        </w:tc>
        <w:tc>
          <w:tcPr>
            <w:tcW w:w="2041" w:type="dxa"/>
          </w:tcPr>
          <w:p w14:paraId="4162ECAE"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780.034</w:t>
            </w:r>
          </w:p>
        </w:tc>
        <w:tc>
          <w:tcPr>
            <w:tcW w:w="2041" w:type="dxa"/>
          </w:tcPr>
          <w:p w14:paraId="0B1EA010"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783.533</w:t>
            </w:r>
          </w:p>
        </w:tc>
        <w:tc>
          <w:tcPr>
            <w:tcW w:w="1224" w:type="dxa"/>
          </w:tcPr>
          <w:p w14:paraId="30EF38EA"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100,4</w:t>
            </w:r>
          </w:p>
        </w:tc>
        <w:tc>
          <w:tcPr>
            <w:tcW w:w="1224" w:type="dxa"/>
          </w:tcPr>
          <w:p w14:paraId="64673E33"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129,5</w:t>
            </w:r>
          </w:p>
        </w:tc>
      </w:tr>
    </w:tbl>
    <w:p w14:paraId="4F1B9908"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0CAA544"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Zakonske i druge pravne osnove</w:t>
      </w:r>
    </w:p>
    <w:p w14:paraId="293307F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Zakon o plovidbi i lukama unutarnjih voda  </w:t>
      </w:r>
    </w:p>
    <w:p w14:paraId="25C5FFC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Zakon o ustanovama  </w:t>
      </w:r>
    </w:p>
    <w:p w14:paraId="37F235B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Uredba o upravljanju i vođenju poslova lučkih uprava unutarnjih  </w:t>
      </w:r>
    </w:p>
    <w:p w14:paraId="620428DD"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Uredba o pristaništima unutarnjih voda  </w:t>
      </w:r>
    </w:p>
    <w:p w14:paraId="54A08FA2"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Pravilnik o kriterijima za određivanje naknada za koncesije u lukama i pristaništima unutarnjih voda  </w:t>
      </w:r>
    </w:p>
    <w:p w14:paraId="2EB3228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Pravilnik o tovarištima  </w:t>
      </w:r>
    </w:p>
    <w:p w14:paraId="2940655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Pravilnik o organizaciji i sistematizaciji radnih mjesta  </w:t>
      </w:r>
    </w:p>
    <w:p w14:paraId="267D963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Pravilnik o plaćama, naknadama plaća i drugim novčanim i nenovčanim primicima</w:t>
      </w:r>
    </w:p>
    <w:p w14:paraId="3AF7EE35"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Opis aktivnosti</w:t>
      </w:r>
    </w:p>
    <w:p w14:paraId="547A2C4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 okviru aktivnosti Administracija i upravljanje sredstva su utrošena za pokriće rashoda za zaposlene na bazi osam zaposlenih, a utrošeno je 192.386,84 €. Rashode čine plaće, doprinosi na plaće i ostali rashodi za zaposlene (nagrade, darovi, regres za godišnji odmor, jubilarne nagrade, troškovi prehrane radnika i ostali slični rashodi).  </w:t>
      </w:r>
    </w:p>
    <w:p w14:paraId="6E00EB5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Također, u okviru ove aktivnosti sredstva su utrošena za materijalne rashode koji su izvršeni u iznosu 588.645,91 €, a čine ih:   </w:t>
      </w:r>
    </w:p>
    <w:p w14:paraId="3451631D"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-naknade troškova zaposlenima u iznosu 8.781,70 € (troškovi službenih putovanja i troškovi u vezi sa službenim putovanjem, smještaj, prijevoz i ostali rashodi za službena putovanja, naknada troškova prijevoza na posao i s posla  i troškovi stručnog usavršavanja zaposlenih)   </w:t>
      </w:r>
    </w:p>
    <w:p w14:paraId="315428C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lastRenderedPageBreak/>
        <w:t xml:space="preserve">-rashodi za materijal i energiju u iznosu 10.844,98 € (uredski materijal, materijal za čišćenje i održavanje, energija za pogon motornih vozila, materijal i dijelovi za tekuće i investicijsko održavanje i sitan inventar)   </w:t>
      </w:r>
    </w:p>
    <w:p w14:paraId="04AD1A96"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-rashodi za usluge u iznosu 518.377,72 € (usluge telefona, poštarina, usluge tekućeg i investicijskog održavanja, usluge tehničkog održavanja, usluge promidžbe i informiranja, komunalne usluge, zdravstvene i veterinarske usluge, usluge odvjetnika i javnih bilježnika, intelektualne, računalne i ostale usluge) </w:t>
      </w:r>
    </w:p>
    <w:p w14:paraId="7FE19A1F"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-ostali nespomenuti rashodi poslovanja u iznosu 50.641,51 € (naknade članovima Upravnog vijeća, premije osiguranja imovine i zaposlenih, reprezentacija, članarina Zajednici lučkih uprava unutarnjih voda, pristojbe i naknade, te ostali nespomenuti rashodi)  </w:t>
      </w:r>
    </w:p>
    <w:p w14:paraId="0CE288DB" w14:textId="77777777" w:rsid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Izdaci za dionice i udjele u glavnici iznose 2.500,00 €, a odnose se na temeljni kapital za tvrtku Luka i skladište d.o.o. koju je Lučka uprava Slavonski Brod osnovala u 2023. godini, a koja će obavljati poslove skladištenja robe na području Luke Slavonski Brod.</w:t>
      </w:r>
    </w:p>
    <w:p w14:paraId="4B28E969"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p>
    <w:p w14:paraId="69A8FB1E" w14:textId="77777777" w:rsidR="00987C78" w:rsidRPr="00987C78" w:rsidRDefault="00987C78" w:rsidP="00987C7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987C78">
        <w:rPr>
          <w:rFonts w:ascii="Times New Roman" w:eastAsia="Times New Roman" w:hAnsi="Times New Roman" w:cs="Times New Roman"/>
          <w:b/>
          <w:bCs/>
          <w:sz w:val="28"/>
          <w:szCs w:val="28"/>
          <w:lang w:val="sl-SI"/>
        </w:rPr>
        <w:t>A928002 GRADNJA I ODRŽAVANJE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87C78" w:rsidRPr="00987C78" w14:paraId="3AF463B0" w14:textId="77777777" w:rsidTr="00B26639">
        <w:trPr>
          <w:jc w:val="center"/>
        </w:trPr>
        <w:tc>
          <w:tcPr>
            <w:tcW w:w="1632" w:type="dxa"/>
            <w:shd w:val="clear" w:color="auto" w:fill="B5C0D8"/>
          </w:tcPr>
          <w:p w14:paraId="12B6ABA2"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Naziv aktivnosti</w:t>
            </w:r>
          </w:p>
        </w:tc>
        <w:tc>
          <w:tcPr>
            <w:tcW w:w="2041" w:type="dxa"/>
            <w:shd w:val="clear" w:color="auto" w:fill="B5C0D8"/>
          </w:tcPr>
          <w:p w14:paraId="04E31164"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161ECAE6"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365A9B6B"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4D0924B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72D39B29"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2023./2022.</w:t>
            </w:r>
          </w:p>
        </w:tc>
      </w:tr>
      <w:tr w:rsidR="00987C78" w:rsidRPr="00987C78" w14:paraId="7A5AF497" w14:textId="77777777" w:rsidTr="00B26639">
        <w:trPr>
          <w:jc w:val="center"/>
        </w:trPr>
        <w:tc>
          <w:tcPr>
            <w:tcW w:w="1632" w:type="dxa"/>
          </w:tcPr>
          <w:p w14:paraId="4CA13113"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A928002-GRADNJA I ODRŽAVANJE</w:t>
            </w:r>
          </w:p>
        </w:tc>
        <w:tc>
          <w:tcPr>
            <w:tcW w:w="2041" w:type="dxa"/>
          </w:tcPr>
          <w:p w14:paraId="5EE49372"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3.888.766</w:t>
            </w:r>
          </w:p>
        </w:tc>
        <w:tc>
          <w:tcPr>
            <w:tcW w:w="2041" w:type="dxa"/>
          </w:tcPr>
          <w:p w14:paraId="01F96BB0"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3.461.354</w:t>
            </w:r>
          </w:p>
        </w:tc>
        <w:tc>
          <w:tcPr>
            <w:tcW w:w="2041" w:type="dxa"/>
          </w:tcPr>
          <w:p w14:paraId="58A4E84C"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3.155.004</w:t>
            </w:r>
          </w:p>
        </w:tc>
        <w:tc>
          <w:tcPr>
            <w:tcW w:w="1224" w:type="dxa"/>
          </w:tcPr>
          <w:p w14:paraId="49708FA4"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91,1</w:t>
            </w:r>
          </w:p>
        </w:tc>
        <w:tc>
          <w:tcPr>
            <w:tcW w:w="1224" w:type="dxa"/>
          </w:tcPr>
          <w:p w14:paraId="7E4363DC"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81,1</w:t>
            </w:r>
          </w:p>
        </w:tc>
      </w:tr>
    </w:tbl>
    <w:p w14:paraId="0E6646DC"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4B91F19"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Zakonske i druge pravne osnove</w:t>
      </w:r>
    </w:p>
    <w:p w14:paraId="4CEAA5E6"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Zakon o plovidbi i lukama unutarnjih voda </w:t>
      </w:r>
    </w:p>
    <w:p w14:paraId="60EB3BA6"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Strategija prometnog razvoja Republike Hrvatske 2017-2030, točka 2.7. </w:t>
      </w:r>
    </w:p>
    <w:p w14:paraId="3B5C3A01"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Uredba o pristaništima unutarnjih voda</w:t>
      </w:r>
    </w:p>
    <w:p w14:paraId="5C2A0503"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Opis aktivnosti</w:t>
      </w:r>
    </w:p>
    <w:p w14:paraId="530F3D5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 okviru ove aktivnosti na usluge tekućeg i investicijskog održavanja utrošeno je 173.723,07 €, a radovi su obuhvaćali košnju, krčenje, čišćenje lučkih prometnica i manipulativnog platoa, održavanje tipskog kontejnera, zbrinjavanje otpada neovlašteno deponiranog u krugu lučkog područja, održavanje rasvjete i videonadzora u luci, rekonstrukciju asfalta u operativnom dijelu luke, rekonstrukciju lučke ceste zapadnog ulaza u luku, krčenje kolosijeka od raslinja i stabala, održavanje staza unutar luke i sanaciju štete nastale uslijed olujnog nevremena koje je u srpnju zahvatilo područje kontinentalne Hrvatske.  </w:t>
      </w:r>
    </w:p>
    <w:p w14:paraId="0AB06EF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Sredstva koja su planirana za usluge tekućeg i investicijskog održavanja ostvarena su u manjem iznosu od planiranih zato što je dio sredstava koji je bio namijenjen na čišćenje snijega ostao nepotrošen. </w:t>
      </w:r>
    </w:p>
    <w:p w14:paraId="2D9D12E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Za intelektualne i osobne usluge utrošeno je 143.172,48 €. Utrošeni iznos odnosi se na slijedeće usluge: </w:t>
      </w:r>
    </w:p>
    <w:p w14:paraId="7DEC0634"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-usluge vođenja projekta ''Izgradnja građevina za pregled i popravak kontejnera s pripadajućom infrastrukturom u luci Slavonski Brod'' u iznosu 23.890,11 €,  </w:t>
      </w:r>
    </w:p>
    <w:p w14:paraId="62B6FF9C"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-usluge izrade geodetskih elaborata u iznosu 4.500,00 €,  </w:t>
      </w:r>
    </w:p>
    <w:p w14:paraId="2178F44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-usluge praćenja horizontalnih i vertikalnih pomaka vezova u iznosu 5.308,92 €, </w:t>
      </w:r>
    </w:p>
    <w:p w14:paraId="384094F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-usluge procjene vrijednosti imovine u iznosu 4.800,00 € ,  </w:t>
      </w:r>
    </w:p>
    <w:p w14:paraId="209EEE7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lastRenderedPageBreak/>
        <w:t xml:space="preserve">-usluga izrade ''Studije izvodljivosti i CBA za projekt gradnje plutajućeg objekta unutarnje plovidbe - pristana u funkciji turizma i putničkog pristaništa na rijeci Savi u Slavonskom Brodu''  u iznosu 11.437,50 €, </w:t>
      </w:r>
    </w:p>
    <w:p w14:paraId="0C3024C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-usluge stručne pomoći prilikom prijave projekta izgradnje putničkog pristaništa Slavonski Brod na poziv za dodjelu bespovratnih sredstava - NPOO kao u iznosu 16.562,50 €,   </w:t>
      </w:r>
    </w:p>
    <w:p w14:paraId="2E009BD3"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-usluga prijave projekta prekogranične suradnje "Green ReTour" u 1. pozivu na dostavu projektnih prijedloga kroz program Interreg VI-A, IPA CBC Croatia-Bosna and Hercegovina-Montenegro, 2021-2027 u iznosu 8.000,00 €, </w:t>
      </w:r>
    </w:p>
    <w:p w14:paraId="6866AED6"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-usluge koje se odnose na izradu projektne dokumentacije za manja putnička pristaništa na rijeci Savi (Županja, Slavonski Kobaš, Babina Greda i Davor) u iznosu 65.548,45 € i </w:t>
      </w:r>
    </w:p>
    <w:p w14:paraId="464E48F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-usluga pregleda stanja industrijskih kolosijeka u iznosu 3.125,00 €.  </w:t>
      </w:r>
    </w:p>
    <w:p w14:paraId="44531EC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Najveći dio sredstava u okviru aktivnosti A928002 Gradnja i održavanje utrošen je na rashode za nabavu proizvedene dugotrajne imovine u iznosu 2.835.226,69 €, a odnosi se na realizaciju slijedećih projekata u luci Slavonski Brod: </w:t>
      </w:r>
    </w:p>
    <w:p w14:paraId="43D07E5A"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-''Izgradnja građevina za pregled i popravak kontejnera sa pripadajućom infrastrukturom u luci Slavonski Brod'', u iznosu 2.298.950,24 €, a izvodili su se radovi na carinskoj i servisnoj radionici (montaža čelične konstrukcije i fasadnih panela, izgradnja uredskih i sanitarnih prostorija, elektrotehnički radovi i radovi na sustavu grijanja i hlađenja) i radovi na niskogradnji (izrada platoa, prometnice, parkirališta za kamione, javne rasvjete i naponskih vodova), </w:t>
      </w:r>
    </w:p>
    <w:p w14:paraId="308C162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-na temelju zahtjeva koncesionara, pravilnika i zakona o sigurnosti i održavanju industrijskih kolosijeka, pokrenut je otvoreni postupak javne nabave za projekt „Usluge brušenja kolosijeka i skretnica“. Usluga se odnosila na prvo brušenje kolosijeka i skretnica u lučkom području luke Slavonski Brod u dužini od 3.042 metra. Sredstva za ovaj projekt u 2023. godini potrošena su u iznosu 121.870,13 €, </w:t>
      </w:r>
    </w:p>
    <w:p w14:paraId="093B3070"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-izvršena je kupovinu postrojenja i opreme koji se nalaze u sklopu ''Distributivnog centra snabdjevanja d.o.o.'' Slavonski Brod koji je kupljen krajem 2022. godine, ali postrojenja i oprema nisu ušli u procijenjenu vrijednost imovine u iznosu 242.219,13 €, </w:t>
      </w:r>
    </w:p>
    <w:p w14:paraId="3EBDF0BC"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-za izgradnju infrastrukture u luci potrošeno je 127.914,96 €, a radovi su se odnosili na izgradnju lučke prometnice os 2, dogradnju manipulativnog platoa u operativnom dijelu luke, rekonstrukciju platoa u zapadnom dijelu luke, izgradnju pristupne ceste prema trafostanici, izgradnju nadstrešnice za potrebe zaštite materijala od nepovoljnih vremenskih uvjeta i drugi radovi manjeg opsega, </w:t>
      </w:r>
    </w:p>
    <w:p w14:paraId="17C9310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-''Gradnje plutajućeg objekta unutarnje plovidbe - pristana u funkciji turizma i putničkog pristaništa na rijeci Savi u Slavonskom Brodu'' – iznos od 7.109,83 € potrošen je na odobrenje tehničke dokumentacije preinake pristana i na komunalni doprinos koji je plaćen gradu Slavonskom Brodu u postupku izdavanja građevinske dozvole i </w:t>
      </w:r>
    </w:p>
    <w:p w14:paraId="1C6B372F"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iznos od 37.162,40 € potrošen je za izradu projektne dokumentacije za manja putnička pristaništa na rijeci Savi (Županja, Slavonski Kobaš, Babina Greda i Davor).</w:t>
      </w:r>
    </w:p>
    <w:p w14:paraId="5830C4CA"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87C78" w:rsidRPr="00987C78" w14:paraId="5CB213C6" w14:textId="77777777" w:rsidTr="00B26639">
        <w:trPr>
          <w:jc w:val="center"/>
        </w:trPr>
        <w:tc>
          <w:tcPr>
            <w:tcW w:w="2551" w:type="dxa"/>
            <w:shd w:val="clear" w:color="auto" w:fill="B5C0D8"/>
          </w:tcPr>
          <w:p w14:paraId="61FA547E" w14:textId="77777777" w:rsidR="00987C78" w:rsidRPr="00987C78" w:rsidRDefault="00987C78" w:rsidP="00987C78">
            <w:pPr>
              <w:overflowPunct w:val="0"/>
              <w:autoSpaceDE w:val="0"/>
              <w:autoSpaceDN w:val="0"/>
              <w:adjustRightInd w:val="0"/>
              <w:textAlignment w:val="baseline"/>
              <w:rPr>
                <w:rFonts w:eastAsia="Times New Roman" w:cs="Times New Roman"/>
                <w:szCs w:val="20"/>
                <w:lang w:val="sl-SI"/>
              </w:rPr>
            </w:pPr>
            <w:r w:rsidRPr="00987C78">
              <w:rPr>
                <w:rFonts w:eastAsia="Times New Roman" w:cs="Times New Roman"/>
                <w:szCs w:val="20"/>
                <w:lang w:val="sl-SI"/>
              </w:rPr>
              <w:t>Pokazatelj rezultata</w:t>
            </w:r>
          </w:p>
        </w:tc>
        <w:tc>
          <w:tcPr>
            <w:tcW w:w="2551" w:type="dxa"/>
            <w:shd w:val="clear" w:color="auto" w:fill="B5C0D8"/>
          </w:tcPr>
          <w:p w14:paraId="5B88612E"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Definicija</w:t>
            </w:r>
          </w:p>
        </w:tc>
        <w:tc>
          <w:tcPr>
            <w:tcW w:w="1020" w:type="dxa"/>
            <w:shd w:val="clear" w:color="auto" w:fill="B5C0D8"/>
          </w:tcPr>
          <w:p w14:paraId="1A0501C6"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Jedinica</w:t>
            </w:r>
          </w:p>
        </w:tc>
        <w:tc>
          <w:tcPr>
            <w:tcW w:w="1020" w:type="dxa"/>
            <w:shd w:val="clear" w:color="auto" w:fill="B5C0D8"/>
          </w:tcPr>
          <w:p w14:paraId="4D21B729"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Polazna vrijednost</w:t>
            </w:r>
          </w:p>
        </w:tc>
        <w:tc>
          <w:tcPr>
            <w:tcW w:w="1020" w:type="dxa"/>
            <w:shd w:val="clear" w:color="auto" w:fill="B5C0D8"/>
          </w:tcPr>
          <w:p w14:paraId="217C7C82"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Izvor podataka</w:t>
            </w:r>
          </w:p>
        </w:tc>
        <w:tc>
          <w:tcPr>
            <w:tcW w:w="1020" w:type="dxa"/>
            <w:shd w:val="clear" w:color="auto" w:fill="B5C0D8"/>
          </w:tcPr>
          <w:p w14:paraId="3FC14E2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Ciljana vrijednost (2023.)</w:t>
            </w:r>
          </w:p>
        </w:tc>
        <w:tc>
          <w:tcPr>
            <w:tcW w:w="1020" w:type="dxa"/>
            <w:shd w:val="clear" w:color="auto" w:fill="B5C0D8"/>
          </w:tcPr>
          <w:p w14:paraId="75E13B6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Ostvarena vrijednost (2023.)</w:t>
            </w:r>
          </w:p>
        </w:tc>
      </w:tr>
      <w:tr w:rsidR="00987C78" w:rsidRPr="00987C78" w14:paraId="0FB34D30" w14:textId="77777777" w:rsidTr="00B26639">
        <w:trPr>
          <w:jc w:val="center"/>
        </w:trPr>
        <w:tc>
          <w:tcPr>
            <w:tcW w:w="2551" w:type="dxa"/>
          </w:tcPr>
          <w:p w14:paraId="36AD75E9"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Postotak izgrađenosti prometnica i kolosjeka u luci Slavonski Brod</w:t>
            </w:r>
          </w:p>
        </w:tc>
        <w:tc>
          <w:tcPr>
            <w:tcW w:w="2551" w:type="dxa"/>
          </w:tcPr>
          <w:p w14:paraId="37914376"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Izgradnjom prometnica i kolosijeka  sa pripadajućim sustavom odvodnje u luci  Slavonski Brod stvorit će se uvjeti za otvaranje luke za međunarodni promet</w:t>
            </w:r>
          </w:p>
        </w:tc>
        <w:tc>
          <w:tcPr>
            <w:tcW w:w="1020" w:type="dxa"/>
          </w:tcPr>
          <w:p w14:paraId="5AD5DB36"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w:t>
            </w:r>
          </w:p>
        </w:tc>
        <w:tc>
          <w:tcPr>
            <w:tcW w:w="1020" w:type="dxa"/>
          </w:tcPr>
          <w:p w14:paraId="59477C2F"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85</w:t>
            </w:r>
          </w:p>
        </w:tc>
        <w:tc>
          <w:tcPr>
            <w:tcW w:w="1020" w:type="dxa"/>
          </w:tcPr>
          <w:p w14:paraId="2674018D"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Lučka uprava Slavonski Brod</w:t>
            </w:r>
          </w:p>
        </w:tc>
        <w:tc>
          <w:tcPr>
            <w:tcW w:w="1020" w:type="dxa"/>
          </w:tcPr>
          <w:p w14:paraId="4B6C35F8"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87</w:t>
            </w:r>
          </w:p>
        </w:tc>
        <w:tc>
          <w:tcPr>
            <w:tcW w:w="1020" w:type="dxa"/>
          </w:tcPr>
          <w:p w14:paraId="115F4A5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86</w:t>
            </w:r>
          </w:p>
        </w:tc>
      </w:tr>
    </w:tbl>
    <w:p w14:paraId="6CA4E7A7"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D57DADF" w14:textId="77777777" w:rsidR="00987C78" w:rsidRPr="00987C78" w:rsidRDefault="00987C78" w:rsidP="00987C7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987C78">
        <w:rPr>
          <w:rFonts w:ascii="Times New Roman" w:eastAsia="Times New Roman" w:hAnsi="Times New Roman" w:cs="Times New Roman"/>
          <w:b/>
          <w:bCs/>
          <w:sz w:val="28"/>
          <w:szCs w:val="28"/>
          <w:lang w:val="sl-SI"/>
        </w:rPr>
        <w:lastRenderedPageBreak/>
        <w:t>K928005 CEF - IZRADA STUDIJA I PROJEKTNE DOKUMENTACIJE ZA POTREBE IZGRADNJE TERMINALA ZA OPASNE TERETE U LUCI SLAVONSKI BROD</w:t>
      </w:r>
    </w:p>
    <w:tbl>
      <w:tblPr>
        <w:tblStyle w:val="StilTablice"/>
        <w:tblW w:w="10206" w:type="dxa"/>
        <w:jc w:val="center"/>
        <w:tblLook w:val="04A0" w:firstRow="1" w:lastRow="0" w:firstColumn="1" w:lastColumn="0" w:noHBand="0" w:noVBand="1"/>
      </w:tblPr>
      <w:tblGrid>
        <w:gridCol w:w="1803"/>
        <w:gridCol w:w="1992"/>
        <w:gridCol w:w="1988"/>
        <w:gridCol w:w="1992"/>
        <w:gridCol w:w="1213"/>
        <w:gridCol w:w="1218"/>
      </w:tblGrid>
      <w:tr w:rsidR="00987C78" w:rsidRPr="00987C78" w14:paraId="45C0250B" w14:textId="77777777" w:rsidTr="00B26639">
        <w:trPr>
          <w:jc w:val="center"/>
        </w:trPr>
        <w:tc>
          <w:tcPr>
            <w:tcW w:w="1632" w:type="dxa"/>
            <w:shd w:val="clear" w:color="auto" w:fill="B5C0D8"/>
          </w:tcPr>
          <w:p w14:paraId="7E745162"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Naziv aktivnosti</w:t>
            </w:r>
          </w:p>
        </w:tc>
        <w:tc>
          <w:tcPr>
            <w:tcW w:w="2041" w:type="dxa"/>
            <w:shd w:val="clear" w:color="auto" w:fill="B5C0D8"/>
          </w:tcPr>
          <w:p w14:paraId="4F631B8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2823FEDC"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07F4F83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5BE33BF5"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37800803"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2023./2022.</w:t>
            </w:r>
          </w:p>
        </w:tc>
      </w:tr>
      <w:tr w:rsidR="00987C78" w:rsidRPr="00987C78" w14:paraId="55AF9AC0" w14:textId="77777777" w:rsidTr="00B26639">
        <w:trPr>
          <w:jc w:val="center"/>
        </w:trPr>
        <w:tc>
          <w:tcPr>
            <w:tcW w:w="1632" w:type="dxa"/>
          </w:tcPr>
          <w:p w14:paraId="7759FB8C"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K928005-CEF - IZRADA STUDIJA I PROJEKTNE DOKUMENTACIJE ZA POTREBE IZGRADNJE TERMINALA ZA OPASNE TERETE U LUCI SLAVONSKI BROD</w:t>
            </w:r>
          </w:p>
        </w:tc>
        <w:tc>
          <w:tcPr>
            <w:tcW w:w="2041" w:type="dxa"/>
          </w:tcPr>
          <w:p w14:paraId="521420E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337.360</w:t>
            </w:r>
          </w:p>
        </w:tc>
        <w:tc>
          <w:tcPr>
            <w:tcW w:w="2041" w:type="dxa"/>
          </w:tcPr>
          <w:p w14:paraId="693FC956"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325.333</w:t>
            </w:r>
          </w:p>
        </w:tc>
        <w:tc>
          <w:tcPr>
            <w:tcW w:w="2041" w:type="dxa"/>
          </w:tcPr>
          <w:p w14:paraId="4F1BCCA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76.448</w:t>
            </w:r>
          </w:p>
        </w:tc>
        <w:tc>
          <w:tcPr>
            <w:tcW w:w="1224" w:type="dxa"/>
          </w:tcPr>
          <w:p w14:paraId="7886BF10"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23,5</w:t>
            </w:r>
          </w:p>
        </w:tc>
        <w:tc>
          <w:tcPr>
            <w:tcW w:w="1224" w:type="dxa"/>
          </w:tcPr>
          <w:p w14:paraId="645CC2F2"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22,7</w:t>
            </w:r>
          </w:p>
        </w:tc>
      </w:tr>
    </w:tbl>
    <w:p w14:paraId="4CD0939D"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78BBBC08"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Zakonske i druge pravne osnove</w:t>
      </w:r>
    </w:p>
    <w:p w14:paraId="5529827B"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Zakon o plovidbi i lukama unutarnjih voda, čl. 138.  </w:t>
      </w:r>
    </w:p>
    <w:p w14:paraId="347F8106"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Sporazum o dodjeli bespovratnih sredstava iz programa Instrumenti za povezivanje Europe (CEF)- sektor transporta sporazum br. INEA/CEF/TRAN/M2020/2434333</w:t>
      </w:r>
    </w:p>
    <w:p w14:paraId="1A85A2F1"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Opis aktivnosti</w:t>
      </w:r>
    </w:p>
    <w:p w14:paraId="13C8B046"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Glavni cilj ovog projekta je izraditi studijsku, projektnu i natječajnu dokumentaciju za izgradnju terminala za opasne terete koji će stvoriti preduvjete za dinamičniji rast aktivnosti te osigurati bolje tehničke uvjete u luci Slavonski Brod. Razdoblje provođenja projekta je od 16.08.2021. do 31.07.2024. godine.  </w:t>
      </w:r>
    </w:p>
    <w:p w14:paraId="151F342A"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Izrađen je financijski i institucionalni dio Studije izvodljivosti: Analiza okolišnih utjecaja, Analiza kapaciteta Korisnika i plan provedbe i nabave Projekta, Analiza institucionalnog ustroja te Analiza troškova i koristi Projekta. </w:t>
      </w:r>
    </w:p>
    <w:p w14:paraId="6920F4B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10.02.2023. g. zaprimljena je Potvrda o usklađenosti zahvata s važećim prostornim planovima. </w:t>
      </w:r>
    </w:p>
    <w:p w14:paraId="3058F8EF"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17.02.2023. g. održana je radionica o upravljanju rizicima terminala, kao podloga za finalizaciju Studije utjecaja na okoliš. </w:t>
      </w:r>
    </w:p>
    <w:p w14:paraId="6052A43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19.04.2023. g. zaprimljeno je Rješenje o prihvatljivosti zahvata za ekološku mrežu u postupku prethodne ocjene prihvatljivosti. </w:t>
      </w:r>
    </w:p>
    <w:p w14:paraId="5D73B9EF"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07.06.2023. g. pokrenut je postupak Procjene utjecaja na okoliš temeljem dostavljene Studije utjecaja na okoliš pred nadležnim tijelom (Ministarstvo gospodarstva i održivog razvoja). 06.12.2023. g. dostavljena je Odluka o imenovanju stručnog povjerenstva u postupku Procjene utjecaja na okoliš. </w:t>
      </w:r>
    </w:p>
    <w:p w14:paraId="3BB0F6BE"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Aktivnost projektnog menadžmenta (Usluga tehničke i administrativne pomoći) se odnosi na sve zadatke i odgovornosti povezane s upravljanjem i koordinacijom projekta. U 2023. godini izvršeno je praćenje tijeka projekta i podrška naručitelju te sudjelovanje u pripremi za izradu godišnjeg izvještaja (Annual Status Report) za CINEA-u.                                                      </w:t>
      </w:r>
    </w:p>
    <w:p w14:paraId="0EF6A69A"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Sredstva koja su utrošena u 2023. godini za usluge promidžbe i informiranja odnose se na objave na web stranici projekta.   </w:t>
      </w:r>
    </w:p>
    <w:p w14:paraId="276211AD"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U 2023. godini nije bilo sati rada zaposlenih na projektu pa sredstva na kontu Rashodi za zaposlene nisu utrošena. </w:t>
      </w:r>
    </w:p>
    <w:p w14:paraId="784CE85F"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lastRenderedPageBreak/>
        <w:t>Zbog dugotrajnosti postupka Procjene utjecaja na okoliš realizacija ovog projekta ostvarena je u manjem opsegu od planirane.</w:t>
      </w:r>
    </w:p>
    <w:p w14:paraId="397B6C23"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87C78" w:rsidRPr="00987C78" w14:paraId="33FCBA45" w14:textId="77777777" w:rsidTr="00B26639">
        <w:trPr>
          <w:jc w:val="center"/>
        </w:trPr>
        <w:tc>
          <w:tcPr>
            <w:tcW w:w="2551" w:type="dxa"/>
            <w:shd w:val="clear" w:color="auto" w:fill="B5C0D8"/>
          </w:tcPr>
          <w:p w14:paraId="4EF05CA5" w14:textId="77777777" w:rsidR="00987C78" w:rsidRPr="00987C78" w:rsidRDefault="00987C78" w:rsidP="00987C78">
            <w:pPr>
              <w:overflowPunct w:val="0"/>
              <w:autoSpaceDE w:val="0"/>
              <w:autoSpaceDN w:val="0"/>
              <w:adjustRightInd w:val="0"/>
              <w:textAlignment w:val="baseline"/>
              <w:rPr>
                <w:rFonts w:eastAsia="Times New Roman" w:cs="Times New Roman"/>
                <w:szCs w:val="20"/>
                <w:lang w:val="sl-SI"/>
              </w:rPr>
            </w:pPr>
            <w:r w:rsidRPr="00987C78">
              <w:rPr>
                <w:rFonts w:eastAsia="Times New Roman" w:cs="Times New Roman"/>
                <w:szCs w:val="20"/>
                <w:lang w:val="sl-SI"/>
              </w:rPr>
              <w:t>Pokazatelj rezultata</w:t>
            </w:r>
          </w:p>
        </w:tc>
        <w:tc>
          <w:tcPr>
            <w:tcW w:w="2551" w:type="dxa"/>
            <w:shd w:val="clear" w:color="auto" w:fill="B5C0D8"/>
          </w:tcPr>
          <w:p w14:paraId="761F0F4A"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Definicija</w:t>
            </w:r>
          </w:p>
        </w:tc>
        <w:tc>
          <w:tcPr>
            <w:tcW w:w="1020" w:type="dxa"/>
            <w:shd w:val="clear" w:color="auto" w:fill="B5C0D8"/>
          </w:tcPr>
          <w:p w14:paraId="209A728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Jedinica</w:t>
            </w:r>
          </w:p>
        </w:tc>
        <w:tc>
          <w:tcPr>
            <w:tcW w:w="1020" w:type="dxa"/>
            <w:shd w:val="clear" w:color="auto" w:fill="B5C0D8"/>
          </w:tcPr>
          <w:p w14:paraId="6029A858"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Polazna vrijednost</w:t>
            </w:r>
          </w:p>
        </w:tc>
        <w:tc>
          <w:tcPr>
            <w:tcW w:w="1020" w:type="dxa"/>
            <w:shd w:val="clear" w:color="auto" w:fill="B5C0D8"/>
          </w:tcPr>
          <w:p w14:paraId="392C345A"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Izvor podataka</w:t>
            </w:r>
          </w:p>
        </w:tc>
        <w:tc>
          <w:tcPr>
            <w:tcW w:w="1020" w:type="dxa"/>
            <w:shd w:val="clear" w:color="auto" w:fill="B5C0D8"/>
          </w:tcPr>
          <w:p w14:paraId="6FE12840"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Ciljana vrijednost (2023.)</w:t>
            </w:r>
          </w:p>
        </w:tc>
        <w:tc>
          <w:tcPr>
            <w:tcW w:w="1020" w:type="dxa"/>
            <w:shd w:val="clear" w:color="auto" w:fill="B5C0D8"/>
          </w:tcPr>
          <w:p w14:paraId="2BD20B00"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Ostvarena vrijednost (2023.)</w:t>
            </w:r>
          </w:p>
        </w:tc>
      </w:tr>
      <w:tr w:rsidR="00987C78" w:rsidRPr="00987C78" w14:paraId="3B5F5376" w14:textId="77777777" w:rsidTr="00B26639">
        <w:trPr>
          <w:jc w:val="center"/>
        </w:trPr>
        <w:tc>
          <w:tcPr>
            <w:tcW w:w="2551" w:type="dxa"/>
          </w:tcPr>
          <w:p w14:paraId="0182B68C"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Postotak izrade studija i projektne dokumentacije</w:t>
            </w:r>
          </w:p>
        </w:tc>
        <w:tc>
          <w:tcPr>
            <w:tcW w:w="2551" w:type="dxa"/>
          </w:tcPr>
          <w:p w14:paraId="0EA1C54C"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Izrada studija i projektne dokumentacije za terminal za opasne terete u luci Slavonski Brod</w:t>
            </w:r>
          </w:p>
        </w:tc>
        <w:tc>
          <w:tcPr>
            <w:tcW w:w="1020" w:type="dxa"/>
          </w:tcPr>
          <w:p w14:paraId="6F1A9D12"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w:t>
            </w:r>
          </w:p>
        </w:tc>
        <w:tc>
          <w:tcPr>
            <w:tcW w:w="1020" w:type="dxa"/>
          </w:tcPr>
          <w:p w14:paraId="6B08A42D"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30</w:t>
            </w:r>
          </w:p>
        </w:tc>
        <w:tc>
          <w:tcPr>
            <w:tcW w:w="1020" w:type="dxa"/>
          </w:tcPr>
          <w:p w14:paraId="458F327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Lučka uprava Slavonski Brod</w:t>
            </w:r>
          </w:p>
        </w:tc>
        <w:tc>
          <w:tcPr>
            <w:tcW w:w="1020" w:type="dxa"/>
          </w:tcPr>
          <w:p w14:paraId="21907453"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70</w:t>
            </w:r>
          </w:p>
        </w:tc>
        <w:tc>
          <w:tcPr>
            <w:tcW w:w="1020" w:type="dxa"/>
          </w:tcPr>
          <w:p w14:paraId="3DCB4D40"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38</w:t>
            </w:r>
          </w:p>
        </w:tc>
      </w:tr>
    </w:tbl>
    <w:p w14:paraId="5311AD15" w14:textId="77777777" w:rsid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4340AB6A"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6829E8F3" w14:textId="77777777" w:rsidR="00987C78" w:rsidRPr="00987C78" w:rsidRDefault="00987C78" w:rsidP="00987C78">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
          <w:bCs/>
          <w:sz w:val="28"/>
          <w:szCs w:val="28"/>
          <w:lang w:val="sl-SI"/>
        </w:rPr>
      </w:pPr>
      <w:r w:rsidRPr="00987C78">
        <w:rPr>
          <w:rFonts w:ascii="Times New Roman" w:eastAsia="Times New Roman" w:hAnsi="Times New Roman" w:cs="Times New Roman"/>
          <w:b/>
          <w:bCs/>
          <w:sz w:val="28"/>
          <w:szCs w:val="28"/>
          <w:lang w:val="sl-SI"/>
        </w:rPr>
        <w:t>T928003 OTPLATA ZAJMOVA ZAGREBAČKE BANKE I HBOR-A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987C78" w:rsidRPr="00987C78" w14:paraId="32EAFC39" w14:textId="77777777" w:rsidTr="00B26639">
        <w:trPr>
          <w:jc w:val="center"/>
        </w:trPr>
        <w:tc>
          <w:tcPr>
            <w:tcW w:w="1632" w:type="dxa"/>
            <w:shd w:val="clear" w:color="auto" w:fill="B5C0D8"/>
          </w:tcPr>
          <w:p w14:paraId="2ADAA8D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Naziv aktivnosti</w:t>
            </w:r>
          </w:p>
        </w:tc>
        <w:tc>
          <w:tcPr>
            <w:tcW w:w="2041" w:type="dxa"/>
            <w:shd w:val="clear" w:color="auto" w:fill="B5C0D8"/>
          </w:tcPr>
          <w:p w14:paraId="218B1B0A"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2022. (eur)</w:t>
            </w:r>
          </w:p>
        </w:tc>
        <w:tc>
          <w:tcPr>
            <w:tcW w:w="2041" w:type="dxa"/>
            <w:shd w:val="clear" w:color="auto" w:fill="B5C0D8"/>
          </w:tcPr>
          <w:p w14:paraId="7099228D"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Plan 2023. (eur)</w:t>
            </w:r>
          </w:p>
        </w:tc>
        <w:tc>
          <w:tcPr>
            <w:tcW w:w="2041" w:type="dxa"/>
            <w:shd w:val="clear" w:color="auto" w:fill="B5C0D8"/>
          </w:tcPr>
          <w:p w14:paraId="3DCF65D9"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Izvršenje 2023. (eur)</w:t>
            </w:r>
          </w:p>
        </w:tc>
        <w:tc>
          <w:tcPr>
            <w:tcW w:w="1224" w:type="dxa"/>
            <w:shd w:val="clear" w:color="auto" w:fill="B5C0D8"/>
          </w:tcPr>
          <w:p w14:paraId="5882FB97"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2023./plan 2023.</w:t>
            </w:r>
          </w:p>
        </w:tc>
        <w:tc>
          <w:tcPr>
            <w:tcW w:w="1224" w:type="dxa"/>
            <w:shd w:val="clear" w:color="auto" w:fill="B5C0D8"/>
          </w:tcPr>
          <w:p w14:paraId="33FAADD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Indeks izvršenje 2023./2022.</w:t>
            </w:r>
          </w:p>
        </w:tc>
      </w:tr>
      <w:tr w:rsidR="00987C78" w:rsidRPr="00987C78" w14:paraId="6D55E39E" w14:textId="77777777" w:rsidTr="00B26639">
        <w:trPr>
          <w:jc w:val="center"/>
        </w:trPr>
        <w:tc>
          <w:tcPr>
            <w:tcW w:w="1632" w:type="dxa"/>
          </w:tcPr>
          <w:p w14:paraId="7BDAF39D"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T928003-OTPLATA ZAJMOVA ZAGREBAČKE BANKE I HBOR-A</w:t>
            </w:r>
          </w:p>
        </w:tc>
        <w:tc>
          <w:tcPr>
            <w:tcW w:w="2041" w:type="dxa"/>
          </w:tcPr>
          <w:p w14:paraId="19C0D73B"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1.001.247</w:t>
            </w:r>
          </w:p>
        </w:tc>
        <w:tc>
          <w:tcPr>
            <w:tcW w:w="2041" w:type="dxa"/>
          </w:tcPr>
          <w:p w14:paraId="160DBC64"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1.017.784</w:t>
            </w:r>
          </w:p>
        </w:tc>
        <w:tc>
          <w:tcPr>
            <w:tcW w:w="2041" w:type="dxa"/>
          </w:tcPr>
          <w:p w14:paraId="28010685"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971.119</w:t>
            </w:r>
          </w:p>
        </w:tc>
        <w:tc>
          <w:tcPr>
            <w:tcW w:w="1224" w:type="dxa"/>
          </w:tcPr>
          <w:p w14:paraId="4A63ED04"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95,4</w:t>
            </w:r>
          </w:p>
        </w:tc>
        <w:tc>
          <w:tcPr>
            <w:tcW w:w="1224" w:type="dxa"/>
          </w:tcPr>
          <w:p w14:paraId="76887DFA"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97,0</w:t>
            </w:r>
          </w:p>
        </w:tc>
      </w:tr>
    </w:tbl>
    <w:p w14:paraId="130A11B9"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4569A49"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Zakonske i druge pravne osnove</w:t>
      </w:r>
    </w:p>
    <w:p w14:paraId="09699F3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Ugovor o dugoročnom kreditu  s valutnom klauzulom (EUR) iz HBOR-ovog Programa Infrastruktura broj 3236340967,  kreditor Zagrebačka banka d.d.  </w:t>
      </w:r>
    </w:p>
    <w:p w14:paraId="340DB967"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xml:space="preserve">- Ugovor o kunskom kreditu broj:KO-37/17, kreditor HBOR  </w:t>
      </w:r>
    </w:p>
    <w:p w14:paraId="0D8E75A5"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 Ugovor o izdavanju Jamstva broj:F-009-18 za uredno izmirenje dugoročnih obveza, Ministarstvo  financija</w:t>
      </w:r>
    </w:p>
    <w:p w14:paraId="2D43EA86"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Opis aktivnosti</w:t>
      </w:r>
    </w:p>
    <w:p w14:paraId="2188D745" w14:textId="77777777" w:rsidR="00987C78" w:rsidRPr="00987C78" w:rsidRDefault="00987C78" w:rsidP="00987C78">
      <w:pPr>
        <w:overflowPunct w:val="0"/>
        <w:autoSpaceDE w:val="0"/>
        <w:autoSpaceDN w:val="0"/>
        <w:adjustRightInd w:val="0"/>
        <w:spacing w:after="120" w:line="240" w:lineRule="auto"/>
        <w:jc w:val="both"/>
        <w:textAlignment w:val="baseline"/>
        <w:rPr>
          <w:rFonts w:ascii="Times New Roman" w:eastAsia="Times New Roman" w:hAnsi="Times New Roman" w:cs="Times New Roman"/>
          <w:szCs w:val="20"/>
          <w:lang w:val="sl-SI"/>
        </w:rPr>
      </w:pPr>
      <w:r w:rsidRPr="00987C78">
        <w:rPr>
          <w:rFonts w:ascii="Times New Roman" w:eastAsia="Times New Roman" w:hAnsi="Times New Roman" w:cs="Times New Roman"/>
          <w:szCs w:val="20"/>
          <w:lang w:val="sl-SI"/>
        </w:rPr>
        <w:t>Sredstvima planiranim unutar navedene aktivnosti u 2023. godini financirane su redovite kamate po kreditima Zagrebačke banke d.d. u iznosu 152.724,32 € i HBOR-a u iznosu 265.445,61 €, otplata rata kredita Zagrebačke banke d.d. u iznosu 499.860,09 € i plaćanje provizije za primljeno Jamstvo u iznosu 53.089,13 €.</w:t>
      </w:r>
    </w:p>
    <w:p w14:paraId="19B73B93" w14:textId="77777777" w:rsidR="00987C78" w:rsidRPr="00987C78" w:rsidRDefault="00987C78" w:rsidP="00987C78">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b/>
          <w:szCs w:val="20"/>
          <w:lang w:val="sl-SI"/>
        </w:rPr>
      </w:pPr>
      <w:r w:rsidRPr="00987C78">
        <w:rPr>
          <w:rFonts w:ascii="Times New Roman" w:eastAsia="Times New Roman" w:hAnsi="Times New Roman" w:cs="Times New Roman"/>
          <w:b/>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987C78" w:rsidRPr="00987C78" w14:paraId="7EE99166" w14:textId="77777777" w:rsidTr="00B26639">
        <w:trPr>
          <w:jc w:val="center"/>
        </w:trPr>
        <w:tc>
          <w:tcPr>
            <w:tcW w:w="2551" w:type="dxa"/>
            <w:shd w:val="clear" w:color="auto" w:fill="B5C0D8"/>
          </w:tcPr>
          <w:p w14:paraId="25753126" w14:textId="77777777" w:rsidR="00987C78" w:rsidRPr="00987C78" w:rsidRDefault="00987C78" w:rsidP="00987C78">
            <w:pPr>
              <w:overflowPunct w:val="0"/>
              <w:autoSpaceDE w:val="0"/>
              <w:autoSpaceDN w:val="0"/>
              <w:adjustRightInd w:val="0"/>
              <w:textAlignment w:val="baseline"/>
              <w:rPr>
                <w:rFonts w:eastAsia="Times New Roman" w:cs="Times New Roman"/>
                <w:szCs w:val="20"/>
                <w:lang w:val="sl-SI"/>
              </w:rPr>
            </w:pPr>
            <w:r w:rsidRPr="00987C78">
              <w:rPr>
                <w:rFonts w:eastAsia="Times New Roman" w:cs="Times New Roman"/>
                <w:szCs w:val="20"/>
                <w:lang w:val="sl-SI"/>
              </w:rPr>
              <w:t>Pokazatelj rezultata</w:t>
            </w:r>
          </w:p>
        </w:tc>
        <w:tc>
          <w:tcPr>
            <w:tcW w:w="2551" w:type="dxa"/>
            <w:shd w:val="clear" w:color="auto" w:fill="B5C0D8"/>
          </w:tcPr>
          <w:p w14:paraId="1BEB41DE"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Definicija</w:t>
            </w:r>
          </w:p>
        </w:tc>
        <w:tc>
          <w:tcPr>
            <w:tcW w:w="1020" w:type="dxa"/>
            <w:shd w:val="clear" w:color="auto" w:fill="B5C0D8"/>
          </w:tcPr>
          <w:p w14:paraId="2B4AAAEE"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Jedinica</w:t>
            </w:r>
          </w:p>
        </w:tc>
        <w:tc>
          <w:tcPr>
            <w:tcW w:w="1020" w:type="dxa"/>
            <w:shd w:val="clear" w:color="auto" w:fill="B5C0D8"/>
          </w:tcPr>
          <w:p w14:paraId="6A8C38A9"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Polazna vrijednost</w:t>
            </w:r>
          </w:p>
        </w:tc>
        <w:tc>
          <w:tcPr>
            <w:tcW w:w="1020" w:type="dxa"/>
            <w:shd w:val="clear" w:color="auto" w:fill="B5C0D8"/>
          </w:tcPr>
          <w:p w14:paraId="2066A12F"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Izvor podataka</w:t>
            </w:r>
          </w:p>
        </w:tc>
        <w:tc>
          <w:tcPr>
            <w:tcW w:w="1020" w:type="dxa"/>
            <w:shd w:val="clear" w:color="auto" w:fill="B5C0D8"/>
          </w:tcPr>
          <w:p w14:paraId="1C42503C"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Ciljana vrijednost (2023.)</w:t>
            </w:r>
          </w:p>
        </w:tc>
        <w:tc>
          <w:tcPr>
            <w:tcW w:w="1020" w:type="dxa"/>
            <w:shd w:val="clear" w:color="auto" w:fill="B5C0D8"/>
          </w:tcPr>
          <w:p w14:paraId="370CBE34"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Ostvarena vrijednost (2023.)</w:t>
            </w:r>
          </w:p>
        </w:tc>
      </w:tr>
      <w:tr w:rsidR="00987C78" w:rsidRPr="00987C78" w14:paraId="4CF68361" w14:textId="77777777" w:rsidTr="00B26639">
        <w:trPr>
          <w:jc w:val="center"/>
        </w:trPr>
        <w:tc>
          <w:tcPr>
            <w:tcW w:w="2551" w:type="dxa"/>
          </w:tcPr>
          <w:p w14:paraId="617C0551"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Postotak pokrivenosti ugovorenih obveza</w:t>
            </w:r>
          </w:p>
        </w:tc>
        <w:tc>
          <w:tcPr>
            <w:tcW w:w="2551" w:type="dxa"/>
          </w:tcPr>
          <w:p w14:paraId="6DE4D9A7" w14:textId="77777777" w:rsidR="00987C78" w:rsidRPr="00987C78" w:rsidRDefault="00987C78" w:rsidP="00987C78">
            <w:pPr>
              <w:overflowPunct w:val="0"/>
              <w:autoSpaceDE w:val="0"/>
              <w:autoSpaceDN w:val="0"/>
              <w:adjustRightInd w:val="0"/>
              <w:textAlignment w:val="baseline"/>
              <w:rPr>
                <w:rFonts w:eastAsia="Times New Roman" w:cs="Arial"/>
                <w:bCs/>
                <w:lang w:val="sl-SI" w:eastAsia="hr-HR"/>
              </w:rPr>
            </w:pPr>
            <w:r w:rsidRPr="00987C78">
              <w:rPr>
                <w:rFonts w:eastAsia="Times New Roman" w:cs="Times New Roman"/>
                <w:bCs/>
                <w:lang w:val="sl-SI" w:eastAsia="hr-HR"/>
              </w:rPr>
              <w:t>Pokrivenost obveza po zajmovima sukladno ugovorima (godišnja vrijednost)</w:t>
            </w:r>
          </w:p>
        </w:tc>
        <w:tc>
          <w:tcPr>
            <w:tcW w:w="1020" w:type="dxa"/>
          </w:tcPr>
          <w:p w14:paraId="7F7EC4B7"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w:t>
            </w:r>
          </w:p>
        </w:tc>
        <w:tc>
          <w:tcPr>
            <w:tcW w:w="1020" w:type="dxa"/>
          </w:tcPr>
          <w:p w14:paraId="3D4D93CC"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0</w:t>
            </w:r>
          </w:p>
        </w:tc>
        <w:tc>
          <w:tcPr>
            <w:tcW w:w="1020" w:type="dxa"/>
          </w:tcPr>
          <w:p w14:paraId="642BC190"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Lučka uprava Slavonski Brod</w:t>
            </w:r>
          </w:p>
        </w:tc>
        <w:tc>
          <w:tcPr>
            <w:tcW w:w="1020" w:type="dxa"/>
          </w:tcPr>
          <w:p w14:paraId="7DADA3F3"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100</w:t>
            </w:r>
          </w:p>
        </w:tc>
        <w:tc>
          <w:tcPr>
            <w:tcW w:w="1020" w:type="dxa"/>
          </w:tcPr>
          <w:p w14:paraId="09779E09" w14:textId="77777777" w:rsidR="00987C78" w:rsidRPr="00987C78" w:rsidRDefault="00987C78" w:rsidP="00987C78">
            <w:pPr>
              <w:overflowPunct w:val="0"/>
              <w:autoSpaceDE w:val="0"/>
              <w:autoSpaceDN w:val="0"/>
              <w:adjustRightInd w:val="0"/>
              <w:jc w:val="right"/>
              <w:textAlignment w:val="baseline"/>
              <w:rPr>
                <w:rFonts w:eastAsia="Times New Roman" w:cs="Arial"/>
                <w:bCs/>
                <w:lang w:val="sl-SI" w:eastAsia="hr-HR"/>
              </w:rPr>
            </w:pPr>
            <w:r w:rsidRPr="00987C78">
              <w:rPr>
                <w:rFonts w:eastAsia="Times New Roman" w:cs="Times New Roman"/>
                <w:bCs/>
                <w:lang w:val="sl-SI" w:eastAsia="hr-HR"/>
              </w:rPr>
              <w:t>100</w:t>
            </w:r>
          </w:p>
        </w:tc>
      </w:tr>
    </w:tbl>
    <w:p w14:paraId="281AFE5A" w14:textId="77777777" w:rsidR="00987C78" w:rsidRPr="00987C78" w:rsidRDefault="00987C78" w:rsidP="00987C78">
      <w:pPr>
        <w:overflowPunct w:val="0"/>
        <w:autoSpaceDE w:val="0"/>
        <w:autoSpaceDN w:val="0"/>
        <w:adjustRightInd w:val="0"/>
        <w:spacing w:after="120" w:line="240" w:lineRule="auto"/>
        <w:textAlignment w:val="baseline"/>
        <w:rPr>
          <w:rFonts w:ascii="Times New Roman" w:eastAsia="Times New Roman" w:hAnsi="Times New Roman" w:cs="Times New Roman"/>
          <w:szCs w:val="20"/>
          <w:lang w:val="sl-SI"/>
        </w:rPr>
      </w:pPr>
    </w:p>
    <w:p w14:paraId="0F4D9581" w14:textId="77777777" w:rsidR="00987C78" w:rsidRDefault="00987C78" w:rsidP="00987C78">
      <w:pPr>
        <w:pStyle w:val="Naslov1"/>
      </w:pPr>
      <w:bookmarkStart w:id="21" w:name="_Toc161740996"/>
      <w:r w:rsidRPr="00987C78">
        <w:lastRenderedPageBreak/>
        <w:t>4. POSEBNI IZVJEŠTAJI</w:t>
      </w:r>
      <w:bookmarkEnd w:id="21"/>
    </w:p>
    <w:p w14:paraId="460A79E7" w14:textId="77777777" w:rsidR="00987C78" w:rsidRPr="00987C78" w:rsidRDefault="00987C78" w:rsidP="00987C78">
      <w:pPr>
        <w:pStyle w:val="Naslov1"/>
      </w:pPr>
    </w:p>
    <w:p w14:paraId="2E6D3029" w14:textId="77777777" w:rsidR="00987C78" w:rsidRPr="00987C78" w:rsidRDefault="00987C78" w:rsidP="00987C78">
      <w:pPr>
        <w:widowControl w:val="0"/>
        <w:autoSpaceDE w:val="0"/>
        <w:autoSpaceDN w:val="0"/>
        <w:spacing w:after="0" w:line="240" w:lineRule="auto"/>
        <w:ind w:left="300"/>
        <w:outlineLvl w:val="0"/>
        <w:rPr>
          <w:rFonts w:ascii="Times New Roman" w:eastAsia="Times New Roman" w:hAnsi="Times New Roman" w:cs="Times New Roman"/>
          <w:b/>
          <w:bCs/>
          <w:sz w:val="24"/>
          <w:szCs w:val="24"/>
          <w:lang w:val="en-GB" w:eastAsia="en-GB" w:bidi="en-GB"/>
        </w:rPr>
      </w:pPr>
    </w:p>
    <w:p w14:paraId="2DDD5483" w14:textId="77777777" w:rsidR="00987C78" w:rsidRPr="00987C78" w:rsidRDefault="00987C78" w:rsidP="00987C78">
      <w:pPr>
        <w:pStyle w:val="Naslov1"/>
      </w:pPr>
      <w:bookmarkStart w:id="22" w:name="_Toc161740997"/>
      <w:r w:rsidRPr="00987C78">
        <w:t>4.1. IZVJEŠTAJ O ZADUŽIVANJU NA DOMAĆEM I STRANOM TRŽIŠTU NOVCA I KAPITALA</w:t>
      </w:r>
      <w:bookmarkEnd w:id="22"/>
    </w:p>
    <w:p w14:paraId="1EFFE13C" w14:textId="77777777" w:rsidR="00987C78" w:rsidRPr="00987C78" w:rsidRDefault="00987C78" w:rsidP="00987C78">
      <w:pPr>
        <w:pStyle w:val="Naslov1"/>
      </w:pPr>
    </w:p>
    <w:p w14:paraId="597084C0" w14:textId="77777777" w:rsidR="00987C78" w:rsidRDefault="00987C78" w:rsidP="00987C78">
      <w:pPr>
        <w:jc w:val="both"/>
        <w:rPr>
          <w:rFonts w:ascii="Times New Roman" w:hAnsi="Times New Roman" w:cs="Times New Roman"/>
        </w:rPr>
      </w:pPr>
      <w:r w:rsidRPr="00987C78">
        <w:rPr>
          <w:rFonts w:ascii="Times New Roman" w:hAnsi="Times New Roman" w:cs="Times New Roman"/>
        </w:rPr>
        <w:t>Lučka uprava Slavonski Brod nema ugovorenih ili preuzetih zaduživanja u razdoblju 01.01.-31.12.2023. godine.</w:t>
      </w:r>
    </w:p>
    <w:p w14:paraId="05447B50" w14:textId="77777777" w:rsidR="00987C78" w:rsidRPr="00987C78" w:rsidRDefault="00987C78" w:rsidP="00987C78">
      <w:pPr>
        <w:jc w:val="both"/>
        <w:rPr>
          <w:rFonts w:ascii="Times New Roman" w:hAnsi="Times New Roman" w:cs="Times New Roman"/>
        </w:rPr>
      </w:pPr>
    </w:p>
    <w:p w14:paraId="4CA19E4E" w14:textId="77777777" w:rsidR="00987C78" w:rsidRPr="00987C78" w:rsidRDefault="00987C78" w:rsidP="00987C78">
      <w:pPr>
        <w:pStyle w:val="Naslov1"/>
      </w:pPr>
      <w:bookmarkStart w:id="23" w:name="_Toc161740998"/>
      <w:r w:rsidRPr="00987C78">
        <w:t>4.2. IZVJEŠTAJ O KORIŠTENJU SREDSTAVA FONDOVA EUROPSKE UNIJE</w:t>
      </w:r>
      <w:bookmarkEnd w:id="23"/>
    </w:p>
    <w:p w14:paraId="6F42E708" w14:textId="77777777" w:rsidR="00987C78" w:rsidRPr="00987C78" w:rsidRDefault="00987C78" w:rsidP="00987C78">
      <w:pPr>
        <w:widowControl w:val="0"/>
        <w:autoSpaceDE w:val="0"/>
        <w:autoSpaceDN w:val="0"/>
        <w:spacing w:after="0" w:line="240" w:lineRule="auto"/>
        <w:ind w:left="300"/>
        <w:outlineLvl w:val="0"/>
        <w:rPr>
          <w:rFonts w:ascii="Times New Roman" w:eastAsia="Times New Roman" w:hAnsi="Times New Roman" w:cs="Times New Roman"/>
          <w:b/>
          <w:bCs/>
          <w:lang w:val="en-GB" w:eastAsia="en-GB" w:bidi="en-GB"/>
        </w:rPr>
      </w:pPr>
    </w:p>
    <w:p w14:paraId="74A60FCB" w14:textId="77777777" w:rsidR="00987C78" w:rsidRDefault="00987C78" w:rsidP="00987C78">
      <w:pPr>
        <w:jc w:val="both"/>
        <w:rPr>
          <w:rFonts w:ascii="Times New Roman" w:hAnsi="Times New Roman" w:cs="Times New Roman"/>
        </w:rPr>
      </w:pPr>
      <w:r w:rsidRPr="00987C78">
        <w:rPr>
          <w:rFonts w:ascii="Times New Roman" w:hAnsi="Times New Roman" w:cs="Times New Roman"/>
        </w:rPr>
        <w:t>Lučka uprava Slavonski Brod u 2023. godini nije imala korištenih sredstava fondova Europske unije iz izvora 56, 57 i 58.</w:t>
      </w:r>
    </w:p>
    <w:p w14:paraId="113220D0" w14:textId="77777777" w:rsidR="00987C78" w:rsidRPr="00987C78" w:rsidRDefault="00987C78" w:rsidP="00987C78">
      <w:pPr>
        <w:jc w:val="both"/>
        <w:rPr>
          <w:rFonts w:ascii="Times New Roman" w:hAnsi="Times New Roman" w:cs="Times New Roman"/>
        </w:rPr>
      </w:pPr>
    </w:p>
    <w:p w14:paraId="21B8E28C" w14:textId="77777777" w:rsidR="00987C78" w:rsidRPr="00987C78" w:rsidRDefault="00987C78" w:rsidP="00987C78">
      <w:pPr>
        <w:pStyle w:val="Naslov1"/>
      </w:pPr>
      <w:bookmarkStart w:id="24" w:name="_Toc161740999"/>
      <w:r w:rsidRPr="00987C78">
        <w:t>4.3. IZVJEŠTAJ O DANIM ZAJMOVIMA I POTRAŽIVANJIMA PO DANIM ZAJMOVIMA</w:t>
      </w:r>
      <w:bookmarkEnd w:id="24"/>
    </w:p>
    <w:p w14:paraId="4CD7DBD1" w14:textId="77777777" w:rsidR="00987C78" w:rsidRPr="00987C78" w:rsidRDefault="00987C78" w:rsidP="00987C78">
      <w:pPr>
        <w:widowControl w:val="0"/>
        <w:autoSpaceDE w:val="0"/>
        <w:autoSpaceDN w:val="0"/>
        <w:spacing w:after="0" w:line="240" w:lineRule="auto"/>
        <w:outlineLvl w:val="0"/>
        <w:rPr>
          <w:rFonts w:ascii="Times New Roman" w:eastAsia="Times New Roman" w:hAnsi="Times New Roman" w:cs="Times New Roman"/>
          <w:b/>
          <w:bCs/>
          <w:lang w:val="en-GB" w:eastAsia="en-GB" w:bidi="en-GB"/>
        </w:rPr>
      </w:pPr>
    </w:p>
    <w:p w14:paraId="1018BB4B" w14:textId="77777777" w:rsidR="00987C78" w:rsidRDefault="00987C78" w:rsidP="00987C78">
      <w:pPr>
        <w:jc w:val="both"/>
        <w:rPr>
          <w:rFonts w:ascii="Times New Roman" w:hAnsi="Times New Roman" w:cs="Times New Roman"/>
        </w:rPr>
      </w:pPr>
      <w:r w:rsidRPr="00987C78">
        <w:rPr>
          <w:rFonts w:ascii="Times New Roman" w:hAnsi="Times New Roman" w:cs="Times New Roman"/>
        </w:rPr>
        <w:t>Lučka uprava Slavonski Brod nema danih zajmova kao niti potraživanja po danim zajmovima u razdoblju 01.01.-31.12.2023. godine.</w:t>
      </w:r>
    </w:p>
    <w:p w14:paraId="162358E4" w14:textId="77777777" w:rsidR="00987C78" w:rsidRPr="00987C78" w:rsidRDefault="00987C78" w:rsidP="00987C78">
      <w:pPr>
        <w:jc w:val="both"/>
        <w:rPr>
          <w:rFonts w:ascii="Times New Roman" w:hAnsi="Times New Roman" w:cs="Times New Roman"/>
        </w:rPr>
      </w:pPr>
    </w:p>
    <w:p w14:paraId="1FD5E1F9" w14:textId="77777777" w:rsidR="00987C78" w:rsidRPr="00987C78" w:rsidRDefault="00987C78" w:rsidP="00987C78">
      <w:pPr>
        <w:pStyle w:val="Naslov1"/>
      </w:pPr>
      <w:bookmarkStart w:id="25" w:name="_Toc161741000"/>
      <w:r w:rsidRPr="00987C78">
        <w:t>4.4. IZVJEŠTAJ O STANJU POTRAŽIVANJA I DOSPJELIH OBVEZA TE O STANJU POTENCIJALNIH OBVEZA PO OSNOVI SUDSKIH SPOROVA</w:t>
      </w:r>
      <w:bookmarkEnd w:id="25"/>
    </w:p>
    <w:p w14:paraId="6B4AC9FF" w14:textId="77777777" w:rsidR="00987C78" w:rsidRPr="00987C78" w:rsidRDefault="00987C78" w:rsidP="00987C78">
      <w:pPr>
        <w:widowControl w:val="0"/>
        <w:autoSpaceDE w:val="0"/>
        <w:autoSpaceDN w:val="0"/>
        <w:spacing w:after="0" w:line="240" w:lineRule="auto"/>
        <w:outlineLvl w:val="0"/>
        <w:rPr>
          <w:rFonts w:ascii="Times New Roman" w:eastAsia="Times New Roman" w:hAnsi="Times New Roman" w:cs="Times New Roman"/>
          <w:b/>
          <w:bCs/>
          <w:lang w:val="en-GB" w:eastAsia="en-GB" w:bidi="en-GB"/>
        </w:rPr>
      </w:pPr>
    </w:p>
    <w:tbl>
      <w:tblPr>
        <w:tblStyle w:val="Reetkatablice"/>
        <w:tblW w:w="0" w:type="auto"/>
        <w:tblLook w:val="04A0" w:firstRow="1" w:lastRow="0" w:firstColumn="1" w:lastColumn="0" w:noHBand="0" w:noVBand="1"/>
      </w:tblPr>
      <w:tblGrid>
        <w:gridCol w:w="4531"/>
        <w:gridCol w:w="4531"/>
      </w:tblGrid>
      <w:tr w:rsidR="00987C78" w:rsidRPr="00987C78" w14:paraId="1D6F80AD" w14:textId="77777777" w:rsidTr="00B26639">
        <w:tc>
          <w:tcPr>
            <w:tcW w:w="4531" w:type="dxa"/>
            <w:vAlign w:val="center"/>
          </w:tcPr>
          <w:p w14:paraId="2F3432D9" w14:textId="77777777" w:rsidR="00987C78" w:rsidRPr="00987C78" w:rsidRDefault="00987C78" w:rsidP="00987C78">
            <w:pPr>
              <w:rPr>
                <w:rFonts w:ascii="Times New Roman" w:hAnsi="Times New Roman"/>
              </w:rPr>
            </w:pPr>
            <w:r w:rsidRPr="00987C78">
              <w:rPr>
                <w:rFonts w:ascii="Times New Roman" w:hAnsi="Times New Roman"/>
              </w:rPr>
              <w:t>STANJE NENAPLAĆENIH POTRAŽIVANJA NA DAN 31.12.2023. GODINE</w:t>
            </w:r>
          </w:p>
        </w:tc>
        <w:tc>
          <w:tcPr>
            <w:tcW w:w="4531" w:type="dxa"/>
            <w:vAlign w:val="center"/>
          </w:tcPr>
          <w:p w14:paraId="008F8860" w14:textId="77777777" w:rsidR="00987C78" w:rsidRPr="00987C78" w:rsidRDefault="00987C78" w:rsidP="00987C78">
            <w:pPr>
              <w:jc w:val="right"/>
              <w:rPr>
                <w:rFonts w:ascii="Times New Roman" w:hAnsi="Times New Roman"/>
              </w:rPr>
            </w:pPr>
            <w:r w:rsidRPr="00987C78">
              <w:rPr>
                <w:rFonts w:ascii="Times New Roman" w:hAnsi="Times New Roman"/>
              </w:rPr>
              <w:t>15.681,74 €</w:t>
            </w:r>
          </w:p>
        </w:tc>
      </w:tr>
      <w:tr w:rsidR="00987C78" w:rsidRPr="00987C78" w14:paraId="4835F5C1" w14:textId="77777777" w:rsidTr="00B26639">
        <w:tc>
          <w:tcPr>
            <w:tcW w:w="4531" w:type="dxa"/>
            <w:vAlign w:val="center"/>
          </w:tcPr>
          <w:p w14:paraId="59A8305C" w14:textId="77777777" w:rsidR="00987C78" w:rsidRPr="00987C78" w:rsidRDefault="00987C78" w:rsidP="00987C78">
            <w:pPr>
              <w:rPr>
                <w:rFonts w:ascii="Times New Roman" w:hAnsi="Times New Roman"/>
              </w:rPr>
            </w:pPr>
            <w:r w:rsidRPr="00987C78">
              <w:rPr>
                <w:rFonts w:ascii="Times New Roman" w:hAnsi="Times New Roman"/>
              </w:rPr>
              <w:t>STANJE NEPODMIRENIH DOSPJELIH OBVEZA NA DAN 31.12.2023.</w:t>
            </w:r>
          </w:p>
        </w:tc>
        <w:tc>
          <w:tcPr>
            <w:tcW w:w="4531" w:type="dxa"/>
            <w:vAlign w:val="center"/>
          </w:tcPr>
          <w:p w14:paraId="245411A7" w14:textId="77777777" w:rsidR="00987C78" w:rsidRPr="00987C78" w:rsidRDefault="00987C78" w:rsidP="00987C78">
            <w:pPr>
              <w:jc w:val="right"/>
              <w:rPr>
                <w:rFonts w:ascii="Times New Roman" w:hAnsi="Times New Roman"/>
              </w:rPr>
            </w:pPr>
            <w:r w:rsidRPr="00987C78">
              <w:rPr>
                <w:rFonts w:ascii="Times New Roman" w:hAnsi="Times New Roman"/>
              </w:rPr>
              <w:t>0,00 €</w:t>
            </w:r>
          </w:p>
        </w:tc>
      </w:tr>
    </w:tbl>
    <w:p w14:paraId="46568EC4" w14:textId="77777777" w:rsidR="00987C78" w:rsidRDefault="00987C78" w:rsidP="00987C78">
      <w:pPr>
        <w:rPr>
          <w:rFonts w:ascii="Times New Roman" w:hAnsi="Times New Roman" w:cs="Times New Roman"/>
        </w:rPr>
      </w:pPr>
    </w:p>
    <w:p w14:paraId="010B029C" w14:textId="7114CF03" w:rsidR="00987C78" w:rsidRPr="00987C78" w:rsidRDefault="00987C78" w:rsidP="00987C78">
      <w:pPr>
        <w:rPr>
          <w:rFonts w:ascii="Times New Roman" w:hAnsi="Times New Roman" w:cs="Times New Roman"/>
        </w:rPr>
      </w:pPr>
      <w:r w:rsidRPr="00987C78">
        <w:rPr>
          <w:rFonts w:ascii="Times New Roman" w:hAnsi="Times New Roman" w:cs="Times New Roman"/>
        </w:rPr>
        <w:t>Lučka uprava Slavonski Brod nema potencijalnih obveza po osnovi sudskih sporova na kraju 2023. godine.</w:t>
      </w:r>
    </w:p>
    <w:p w14:paraId="1E6FBEDD" w14:textId="77777777" w:rsidR="00987C78" w:rsidRPr="00987C78" w:rsidRDefault="00987C78" w:rsidP="00987C78">
      <w:pPr>
        <w:jc w:val="both"/>
        <w:rPr>
          <w:rFonts w:ascii="Times New Roman" w:hAnsi="Times New Roman" w:cs="Times New Roman"/>
        </w:rPr>
      </w:pPr>
    </w:p>
    <w:p w14:paraId="3FF9F3DC" w14:textId="77777777" w:rsidR="00987C78" w:rsidRPr="00987C78" w:rsidRDefault="00987C78" w:rsidP="00987C78">
      <w:pPr>
        <w:pStyle w:val="Naslov1"/>
      </w:pPr>
      <w:bookmarkStart w:id="26" w:name="_Toc161741001"/>
      <w:r w:rsidRPr="00987C78">
        <w:t>4.5. IZVJEŠTAJ O DANIM JAMSTVIMA I PLAĆANJIMA PO PROTESTIRANIM JAMSTVIMA</w:t>
      </w:r>
      <w:bookmarkEnd w:id="26"/>
    </w:p>
    <w:p w14:paraId="730D2083" w14:textId="77777777" w:rsidR="00987C78" w:rsidRPr="00987C78" w:rsidRDefault="00987C78" w:rsidP="00987C78">
      <w:pPr>
        <w:jc w:val="both"/>
        <w:rPr>
          <w:rFonts w:ascii="Times New Roman" w:hAnsi="Times New Roman" w:cs="Times New Roman"/>
        </w:rPr>
      </w:pPr>
    </w:p>
    <w:p w14:paraId="59A5452A" w14:textId="77777777" w:rsidR="00987C78" w:rsidRPr="00987C78" w:rsidRDefault="00987C78" w:rsidP="00987C78">
      <w:pPr>
        <w:jc w:val="both"/>
        <w:rPr>
          <w:rFonts w:ascii="Times New Roman" w:hAnsi="Times New Roman" w:cs="Times New Roman"/>
        </w:rPr>
      </w:pPr>
      <w:r w:rsidRPr="00987C78">
        <w:rPr>
          <w:rFonts w:ascii="Times New Roman" w:hAnsi="Times New Roman" w:cs="Times New Roman"/>
        </w:rPr>
        <w:t>Lučka uprava Slavonski Brod nema danih jamstava ili izvršenih plaćanja po protestiranim jamstvima  u periodu 01.01.2023. – 31.12.2023. godine.</w:t>
      </w:r>
    </w:p>
    <w:p w14:paraId="345B3499" w14:textId="77777777" w:rsidR="00987C78" w:rsidRPr="00987C78" w:rsidRDefault="00987C78" w:rsidP="00987C78">
      <w:pPr>
        <w:rPr>
          <w:kern w:val="2"/>
          <w:sz w:val="24"/>
          <w:szCs w:val="24"/>
          <w14:ligatures w14:val="standardContextual"/>
        </w:rPr>
      </w:pPr>
    </w:p>
    <w:p w14:paraId="4DA36A9C" w14:textId="77777777" w:rsidR="00987C78" w:rsidRPr="00B07225" w:rsidRDefault="00987C78" w:rsidP="00987C78"/>
    <w:p w14:paraId="3C2F83F2" w14:textId="77777777" w:rsidR="00CC11E5" w:rsidRPr="00AC3F06" w:rsidRDefault="00CC11E5" w:rsidP="00CC11E5">
      <w:pPr>
        <w:tabs>
          <w:tab w:val="left" w:pos="7588"/>
        </w:tabs>
        <w:jc w:val="both"/>
        <w:rPr>
          <w:rFonts w:ascii="Times New Roman" w:hAnsi="Times New Roman" w:cs="Times New Roman"/>
          <w:b/>
          <w:bCs/>
          <w:sz w:val="24"/>
          <w:szCs w:val="24"/>
        </w:rPr>
      </w:pPr>
      <w:r>
        <w:rPr>
          <w:rFonts w:ascii="Times New Roman" w:hAnsi="Times New Roman" w:cs="Times New Roman"/>
          <w:sz w:val="24"/>
          <w:szCs w:val="24"/>
        </w:rPr>
        <w:t xml:space="preserve">                                                                                                                    </w:t>
      </w:r>
      <w:r w:rsidRPr="00AC3F06">
        <w:rPr>
          <w:rFonts w:ascii="Times New Roman" w:hAnsi="Times New Roman" w:cs="Times New Roman"/>
          <w:b/>
          <w:bCs/>
          <w:sz w:val="24"/>
          <w:szCs w:val="24"/>
        </w:rPr>
        <w:t>RAVNATEL</w:t>
      </w:r>
      <w:r>
        <w:rPr>
          <w:rFonts w:ascii="Times New Roman" w:hAnsi="Times New Roman" w:cs="Times New Roman"/>
          <w:b/>
          <w:bCs/>
          <w:sz w:val="24"/>
          <w:szCs w:val="24"/>
        </w:rPr>
        <w:t>J</w:t>
      </w:r>
      <w:r w:rsidRPr="00AC3F06">
        <w:rPr>
          <w:rFonts w:ascii="Times New Roman" w:hAnsi="Times New Roman" w:cs="Times New Roman"/>
          <w:b/>
          <w:bCs/>
          <w:sz w:val="24"/>
          <w:szCs w:val="24"/>
        </w:rPr>
        <w:t xml:space="preserve">:                                                                                  </w:t>
      </w:r>
    </w:p>
    <w:p w14:paraId="05E59E94" w14:textId="77777777" w:rsidR="00CC11E5" w:rsidRPr="00E46EB6" w:rsidRDefault="00CC11E5" w:rsidP="00CC11E5">
      <w:pPr>
        <w:tabs>
          <w:tab w:val="left" w:pos="7588"/>
        </w:tabs>
        <w:jc w:val="right"/>
        <w:rPr>
          <w:rFonts w:ascii="Times New Roman" w:hAnsi="Times New Roman" w:cs="Times New Roman"/>
          <w:b/>
          <w:bCs/>
          <w:sz w:val="24"/>
          <w:szCs w:val="24"/>
        </w:rPr>
      </w:pPr>
      <w:r w:rsidRPr="00AC3F06">
        <w:rPr>
          <w:rFonts w:ascii="Times New Roman" w:hAnsi="Times New Roman" w:cs="Times New Roman"/>
          <w:b/>
          <w:bCs/>
          <w:sz w:val="24"/>
          <w:szCs w:val="24"/>
        </w:rPr>
        <w:t>Marijan Jurić, dipl. ing.</w:t>
      </w:r>
    </w:p>
    <w:p w14:paraId="4C189546" w14:textId="77777777" w:rsidR="00DA52AA" w:rsidRPr="00B07225" w:rsidRDefault="00DA52AA" w:rsidP="00DA52AA">
      <w:pPr>
        <w:jc w:val="both"/>
        <w:rPr>
          <w:rFonts w:ascii="Times New Roman" w:hAnsi="Times New Roman" w:cs="Times New Roman"/>
          <w:sz w:val="24"/>
          <w:szCs w:val="24"/>
        </w:rPr>
      </w:pPr>
    </w:p>
    <w:sectPr w:rsidR="00DA52AA" w:rsidRPr="00B07225" w:rsidSect="00FF0066">
      <w:headerReference w:type="default" r:id="rId19"/>
      <w:footerReference w:type="defaul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E9ABF" w14:textId="77777777" w:rsidR="00900205" w:rsidRDefault="00900205" w:rsidP="00C20DD5">
      <w:pPr>
        <w:spacing w:after="0" w:line="240" w:lineRule="auto"/>
      </w:pPr>
      <w:r>
        <w:separator/>
      </w:r>
    </w:p>
  </w:endnote>
  <w:endnote w:type="continuationSeparator" w:id="0">
    <w:p w14:paraId="4582A73B" w14:textId="77777777" w:rsidR="00900205" w:rsidRDefault="00900205" w:rsidP="00C20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80A6" w14:textId="77777777" w:rsidR="0002409D" w:rsidRDefault="0002409D" w:rsidP="00A36966">
    <w:pPr>
      <w:pStyle w:val="Podnoj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2039F9">
      <w:rPr>
        <w:caps/>
        <w:noProof/>
        <w:color w:val="4472C4" w:themeColor="accent1"/>
      </w:rPr>
      <w:t>1</w:t>
    </w:r>
    <w:r w:rsidR="002039F9">
      <w:rPr>
        <w:caps/>
        <w:noProof/>
        <w:color w:val="4472C4" w:themeColor="accent1"/>
      </w:rPr>
      <w:t>0</w:t>
    </w:r>
    <w:r>
      <w:rPr>
        <w:caps/>
        <w:color w:val="4472C4" w:themeColor="accent1"/>
      </w:rPr>
      <w:fldChar w:fldCharType="end"/>
    </w:r>
  </w:p>
  <w:p w14:paraId="07DF3846" w14:textId="77777777" w:rsidR="00403313" w:rsidRDefault="004033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F035" w14:textId="77777777" w:rsidR="00900205" w:rsidRDefault="00900205" w:rsidP="00C20DD5">
      <w:pPr>
        <w:spacing w:after="0" w:line="240" w:lineRule="auto"/>
      </w:pPr>
      <w:r>
        <w:separator/>
      </w:r>
    </w:p>
  </w:footnote>
  <w:footnote w:type="continuationSeparator" w:id="0">
    <w:p w14:paraId="0DCF10AD" w14:textId="77777777" w:rsidR="00900205" w:rsidRDefault="00900205" w:rsidP="00C20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DD4D" w14:textId="77777777" w:rsidR="0002409D" w:rsidRDefault="0002409D" w:rsidP="001D1CDE">
    <w:pPr>
      <w:pStyle w:val="Zaglavlje"/>
    </w:pPr>
  </w:p>
  <w:p w14:paraId="7F4FA5B1" w14:textId="77777777" w:rsidR="001D1CDE" w:rsidRPr="001D1CDE" w:rsidRDefault="001D1CDE" w:rsidP="001D1CD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32143"/>
    <w:multiLevelType w:val="hybridMultilevel"/>
    <w:tmpl w:val="27A8A31E"/>
    <w:lvl w:ilvl="0" w:tplc="4D424EA6">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87307A1"/>
    <w:multiLevelType w:val="multilevel"/>
    <w:tmpl w:val="A20668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A2424C8"/>
    <w:multiLevelType w:val="multilevel"/>
    <w:tmpl w:val="E3C0E724"/>
    <w:lvl w:ilvl="0">
      <w:start w:val="1"/>
      <w:numFmt w:val="upperRoman"/>
      <w:lvlText w:val="%1."/>
      <w:lvlJc w:val="right"/>
      <w:pPr>
        <w:ind w:left="720" w:hanging="360"/>
      </w:pPr>
      <w:rPr>
        <w:rFonts w:hint="default"/>
      </w:rPr>
    </w:lvl>
    <w:lvl w:ilvl="1">
      <w:start w:val="1"/>
      <w:numFmt w:val="upp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E686108"/>
    <w:multiLevelType w:val="multilevel"/>
    <w:tmpl w:val="69F43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1385259"/>
    <w:multiLevelType w:val="multilevel"/>
    <w:tmpl w:val="3A52BDA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54951A67"/>
    <w:multiLevelType w:val="hybridMultilevel"/>
    <w:tmpl w:val="74C42820"/>
    <w:lvl w:ilvl="0" w:tplc="FA10BD86">
      <w:start w:val="1"/>
      <w:numFmt w:val="bullet"/>
      <w:lvlText w:val="-"/>
      <w:lvlJc w:val="left"/>
      <w:pPr>
        <w:ind w:left="1080" w:hanging="360"/>
      </w:pPr>
      <w:rPr>
        <w:rFonts w:ascii="Calibri" w:eastAsiaTheme="minorHAns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58C65A5F"/>
    <w:multiLevelType w:val="hybridMultilevel"/>
    <w:tmpl w:val="51BE63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BFA4D13"/>
    <w:multiLevelType w:val="multilevel"/>
    <w:tmpl w:val="3A52BDA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63341C08"/>
    <w:multiLevelType w:val="hybridMultilevel"/>
    <w:tmpl w:val="59B86D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556EB6"/>
    <w:multiLevelType w:val="hybridMultilevel"/>
    <w:tmpl w:val="47E0CAC4"/>
    <w:lvl w:ilvl="0" w:tplc="6E2AB89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7153E70"/>
    <w:multiLevelType w:val="hybridMultilevel"/>
    <w:tmpl w:val="56627022"/>
    <w:lvl w:ilvl="0" w:tplc="945C3450">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10058767">
    <w:abstractNumId w:val="6"/>
  </w:num>
  <w:num w:numId="2" w16cid:durableId="1055200247">
    <w:abstractNumId w:val="1"/>
  </w:num>
  <w:num w:numId="3" w16cid:durableId="1276597317">
    <w:abstractNumId w:val="4"/>
  </w:num>
  <w:num w:numId="4" w16cid:durableId="882905906">
    <w:abstractNumId w:val="3"/>
  </w:num>
  <w:num w:numId="5" w16cid:durableId="1830748580">
    <w:abstractNumId w:val="8"/>
  </w:num>
  <w:num w:numId="6" w16cid:durableId="814643448">
    <w:abstractNumId w:val="7"/>
  </w:num>
  <w:num w:numId="7" w16cid:durableId="1792090807">
    <w:abstractNumId w:val="0"/>
  </w:num>
  <w:num w:numId="8" w16cid:durableId="1005476834">
    <w:abstractNumId w:val="5"/>
  </w:num>
  <w:num w:numId="9" w16cid:durableId="1562709075">
    <w:abstractNumId w:val="10"/>
  </w:num>
  <w:num w:numId="10" w16cid:durableId="1866362218">
    <w:abstractNumId w:val="2"/>
  </w:num>
  <w:num w:numId="11" w16cid:durableId="2137329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313"/>
    <w:rsid w:val="00012FBB"/>
    <w:rsid w:val="00013DC0"/>
    <w:rsid w:val="00014BA0"/>
    <w:rsid w:val="00015289"/>
    <w:rsid w:val="00015D2D"/>
    <w:rsid w:val="00016CD5"/>
    <w:rsid w:val="0001713E"/>
    <w:rsid w:val="00020689"/>
    <w:rsid w:val="0002409D"/>
    <w:rsid w:val="00025AB2"/>
    <w:rsid w:val="000267E3"/>
    <w:rsid w:val="00027F39"/>
    <w:rsid w:val="00032F20"/>
    <w:rsid w:val="000348BB"/>
    <w:rsid w:val="000372E9"/>
    <w:rsid w:val="00041C1C"/>
    <w:rsid w:val="00047B4C"/>
    <w:rsid w:val="00052145"/>
    <w:rsid w:val="00054FC9"/>
    <w:rsid w:val="000564A5"/>
    <w:rsid w:val="00060925"/>
    <w:rsid w:val="00072BD9"/>
    <w:rsid w:val="000860C9"/>
    <w:rsid w:val="0009091A"/>
    <w:rsid w:val="00093281"/>
    <w:rsid w:val="0009676E"/>
    <w:rsid w:val="000B26CE"/>
    <w:rsid w:val="000B6687"/>
    <w:rsid w:val="000B7D89"/>
    <w:rsid w:val="000C7302"/>
    <w:rsid w:val="000D0E54"/>
    <w:rsid w:val="000D32A6"/>
    <w:rsid w:val="000D6C6F"/>
    <w:rsid w:val="000E36D6"/>
    <w:rsid w:val="00111DE9"/>
    <w:rsid w:val="001131F3"/>
    <w:rsid w:val="001261C4"/>
    <w:rsid w:val="00127A26"/>
    <w:rsid w:val="0013066B"/>
    <w:rsid w:val="00132665"/>
    <w:rsid w:val="00140B4E"/>
    <w:rsid w:val="00150B6B"/>
    <w:rsid w:val="00157ECA"/>
    <w:rsid w:val="001649D9"/>
    <w:rsid w:val="00166461"/>
    <w:rsid w:val="00170945"/>
    <w:rsid w:val="001728BC"/>
    <w:rsid w:val="00176B47"/>
    <w:rsid w:val="00176CAA"/>
    <w:rsid w:val="00186AC6"/>
    <w:rsid w:val="001A5637"/>
    <w:rsid w:val="001B2191"/>
    <w:rsid w:val="001B469B"/>
    <w:rsid w:val="001B54FD"/>
    <w:rsid w:val="001B5907"/>
    <w:rsid w:val="001B6D89"/>
    <w:rsid w:val="001B76F3"/>
    <w:rsid w:val="001C3678"/>
    <w:rsid w:val="001D12A8"/>
    <w:rsid w:val="001D1CDE"/>
    <w:rsid w:val="001D3F52"/>
    <w:rsid w:val="001D5696"/>
    <w:rsid w:val="001D5B6D"/>
    <w:rsid w:val="001D7E5B"/>
    <w:rsid w:val="001E495E"/>
    <w:rsid w:val="001F3335"/>
    <w:rsid w:val="001F5D0C"/>
    <w:rsid w:val="00200525"/>
    <w:rsid w:val="002039F9"/>
    <w:rsid w:val="002066DB"/>
    <w:rsid w:val="00214115"/>
    <w:rsid w:val="00214511"/>
    <w:rsid w:val="00220DA5"/>
    <w:rsid w:val="00222F83"/>
    <w:rsid w:val="0023054F"/>
    <w:rsid w:val="00234F2B"/>
    <w:rsid w:val="0023669B"/>
    <w:rsid w:val="00236A4A"/>
    <w:rsid w:val="00240353"/>
    <w:rsid w:val="00255DE2"/>
    <w:rsid w:val="0025698C"/>
    <w:rsid w:val="00263B02"/>
    <w:rsid w:val="00264B20"/>
    <w:rsid w:val="00264CFD"/>
    <w:rsid w:val="00272601"/>
    <w:rsid w:val="002A0E6C"/>
    <w:rsid w:val="002A2683"/>
    <w:rsid w:val="002A3E36"/>
    <w:rsid w:val="002A5340"/>
    <w:rsid w:val="002A7B94"/>
    <w:rsid w:val="002B09F5"/>
    <w:rsid w:val="002B2731"/>
    <w:rsid w:val="002B7CCE"/>
    <w:rsid w:val="002B7EC6"/>
    <w:rsid w:val="002C21FB"/>
    <w:rsid w:val="002D17FD"/>
    <w:rsid w:val="002D19DC"/>
    <w:rsid w:val="002D2E2E"/>
    <w:rsid w:val="002D575B"/>
    <w:rsid w:val="002D5BFA"/>
    <w:rsid w:val="002E3676"/>
    <w:rsid w:val="002E5416"/>
    <w:rsid w:val="002F2D6D"/>
    <w:rsid w:val="002F5682"/>
    <w:rsid w:val="002F5C59"/>
    <w:rsid w:val="002F7F75"/>
    <w:rsid w:val="00303899"/>
    <w:rsid w:val="00306FCA"/>
    <w:rsid w:val="00310302"/>
    <w:rsid w:val="00314B55"/>
    <w:rsid w:val="0031707F"/>
    <w:rsid w:val="00327C88"/>
    <w:rsid w:val="00331347"/>
    <w:rsid w:val="003405F0"/>
    <w:rsid w:val="00341AE2"/>
    <w:rsid w:val="00364753"/>
    <w:rsid w:val="003647A2"/>
    <w:rsid w:val="0036500B"/>
    <w:rsid w:val="00365B03"/>
    <w:rsid w:val="00371112"/>
    <w:rsid w:val="00372074"/>
    <w:rsid w:val="00387976"/>
    <w:rsid w:val="00394A18"/>
    <w:rsid w:val="003A3CCD"/>
    <w:rsid w:val="003A4822"/>
    <w:rsid w:val="003A6332"/>
    <w:rsid w:val="003B3E27"/>
    <w:rsid w:val="003B6509"/>
    <w:rsid w:val="003C4D33"/>
    <w:rsid w:val="003C6202"/>
    <w:rsid w:val="003C641D"/>
    <w:rsid w:val="003D2566"/>
    <w:rsid w:val="003D5209"/>
    <w:rsid w:val="003D6968"/>
    <w:rsid w:val="003D70C4"/>
    <w:rsid w:val="003D70C5"/>
    <w:rsid w:val="003E197D"/>
    <w:rsid w:val="003E3668"/>
    <w:rsid w:val="003F1D33"/>
    <w:rsid w:val="003F6E61"/>
    <w:rsid w:val="00402CF5"/>
    <w:rsid w:val="00403313"/>
    <w:rsid w:val="0041216E"/>
    <w:rsid w:val="00414BC0"/>
    <w:rsid w:val="00423A57"/>
    <w:rsid w:val="00431362"/>
    <w:rsid w:val="004410C8"/>
    <w:rsid w:val="0044177F"/>
    <w:rsid w:val="00444670"/>
    <w:rsid w:val="00452071"/>
    <w:rsid w:val="00454D58"/>
    <w:rsid w:val="00463B32"/>
    <w:rsid w:val="004718A2"/>
    <w:rsid w:val="00480831"/>
    <w:rsid w:val="00487E99"/>
    <w:rsid w:val="004971A4"/>
    <w:rsid w:val="004A3210"/>
    <w:rsid w:val="004B1560"/>
    <w:rsid w:val="004B2252"/>
    <w:rsid w:val="004B3AD5"/>
    <w:rsid w:val="004B5E1F"/>
    <w:rsid w:val="004C5D48"/>
    <w:rsid w:val="004D4A0F"/>
    <w:rsid w:val="004D58EB"/>
    <w:rsid w:val="004E275B"/>
    <w:rsid w:val="004E2FF3"/>
    <w:rsid w:val="004E31C2"/>
    <w:rsid w:val="004E5202"/>
    <w:rsid w:val="004F0BE0"/>
    <w:rsid w:val="004F43BD"/>
    <w:rsid w:val="004F7D26"/>
    <w:rsid w:val="005017C6"/>
    <w:rsid w:val="005061AA"/>
    <w:rsid w:val="00507A63"/>
    <w:rsid w:val="005103D0"/>
    <w:rsid w:val="00510886"/>
    <w:rsid w:val="00512F5B"/>
    <w:rsid w:val="00513BC7"/>
    <w:rsid w:val="00516190"/>
    <w:rsid w:val="0052553B"/>
    <w:rsid w:val="00530BD4"/>
    <w:rsid w:val="00531291"/>
    <w:rsid w:val="0054431B"/>
    <w:rsid w:val="00552455"/>
    <w:rsid w:val="0056393D"/>
    <w:rsid w:val="00566B9B"/>
    <w:rsid w:val="00570C6C"/>
    <w:rsid w:val="005739D4"/>
    <w:rsid w:val="00581961"/>
    <w:rsid w:val="00581998"/>
    <w:rsid w:val="00592438"/>
    <w:rsid w:val="005978E9"/>
    <w:rsid w:val="005A1C5A"/>
    <w:rsid w:val="005A7452"/>
    <w:rsid w:val="005B2A0E"/>
    <w:rsid w:val="005B4BF7"/>
    <w:rsid w:val="005B4E14"/>
    <w:rsid w:val="005C6F7E"/>
    <w:rsid w:val="005D0373"/>
    <w:rsid w:val="005D09DA"/>
    <w:rsid w:val="005D0D4F"/>
    <w:rsid w:val="005D2D8E"/>
    <w:rsid w:val="005E0DE3"/>
    <w:rsid w:val="005E3951"/>
    <w:rsid w:val="005E6AD7"/>
    <w:rsid w:val="005F43E9"/>
    <w:rsid w:val="005F6564"/>
    <w:rsid w:val="00605274"/>
    <w:rsid w:val="00605F19"/>
    <w:rsid w:val="0061434E"/>
    <w:rsid w:val="006145DD"/>
    <w:rsid w:val="0061759D"/>
    <w:rsid w:val="0063069A"/>
    <w:rsid w:val="00643F6E"/>
    <w:rsid w:val="0065031F"/>
    <w:rsid w:val="0065646D"/>
    <w:rsid w:val="00661460"/>
    <w:rsid w:val="006616D8"/>
    <w:rsid w:val="006627D0"/>
    <w:rsid w:val="006906C1"/>
    <w:rsid w:val="00692561"/>
    <w:rsid w:val="006A1A9B"/>
    <w:rsid w:val="006A36FB"/>
    <w:rsid w:val="006A62A1"/>
    <w:rsid w:val="006C21CD"/>
    <w:rsid w:val="006C23AF"/>
    <w:rsid w:val="006C370C"/>
    <w:rsid w:val="006C5E65"/>
    <w:rsid w:val="006D0F5D"/>
    <w:rsid w:val="006D1EBD"/>
    <w:rsid w:val="006D37E1"/>
    <w:rsid w:val="006E4E76"/>
    <w:rsid w:val="006F0B9D"/>
    <w:rsid w:val="006F3F97"/>
    <w:rsid w:val="0070030D"/>
    <w:rsid w:val="00701256"/>
    <w:rsid w:val="00702AA3"/>
    <w:rsid w:val="007035C4"/>
    <w:rsid w:val="007124EB"/>
    <w:rsid w:val="007129A5"/>
    <w:rsid w:val="00716848"/>
    <w:rsid w:val="0071768D"/>
    <w:rsid w:val="00725641"/>
    <w:rsid w:val="00725A16"/>
    <w:rsid w:val="00727DA5"/>
    <w:rsid w:val="007356AE"/>
    <w:rsid w:val="00737CF5"/>
    <w:rsid w:val="007403ED"/>
    <w:rsid w:val="00741924"/>
    <w:rsid w:val="0074636D"/>
    <w:rsid w:val="00761B34"/>
    <w:rsid w:val="00762B5F"/>
    <w:rsid w:val="00762E4F"/>
    <w:rsid w:val="00775B57"/>
    <w:rsid w:val="00792D41"/>
    <w:rsid w:val="007A1822"/>
    <w:rsid w:val="007A4BE0"/>
    <w:rsid w:val="007B01DA"/>
    <w:rsid w:val="007C5AD3"/>
    <w:rsid w:val="007D1674"/>
    <w:rsid w:val="007D4369"/>
    <w:rsid w:val="007E1603"/>
    <w:rsid w:val="007E3564"/>
    <w:rsid w:val="007F06C1"/>
    <w:rsid w:val="007F0ECA"/>
    <w:rsid w:val="007F12AD"/>
    <w:rsid w:val="007F2370"/>
    <w:rsid w:val="008031DA"/>
    <w:rsid w:val="008052AA"/>
    <w:rsid w:val="0080730F"/>
    <w:rsid w:val="00807D85"/>
    <w:rsid w:val="008131CF"/>
    <w:rsid w:val="00813F83"/>
    <w:rsid w:val="00815CBF"/>
    <w:rsid w:val="0081620D"/>
    <w:rsid w:val="0081674E"/>
    <w:rsid w:val="008274BC"/>
    <w:rsid w:val="00840BD9"/>
    <w:rsid w:val="00840C8C"/>
    <w:rsid w:val="008462E1"/>
    <w:rsid w:val="0084630F"/>
    <w:rsid w:val="00851259"/>
    <w:rsid w:val="008533D6"/>
    <w:rsid w:val="00853B8E"/>
    <w:rsid w:val="00864629"/>
    <w:rsid w:val="008676F0"/>
    <w:rsid w:val="00870B11"/>
    <w:rsid w:val="00875C9E"/>
    <w:rsid w:val="00882C24"/>
    <w:rsid w:val="00891EF3"/>
    <w:rsid w:val="0089282E"/>
    <w:rsid w:val="00895170"/>
    <w:rsid w:val="008A63A5"/>
    <w:rsid w:val="008A7741"/>
    <w:rsid w:val="008B1D9B"/>
    <w:rsid w:val="008B61C5"/>
    <w:rsid w:val="008C1925"/>
    <w:rsid w:val="008C2CAC"/>
    <w:rsid w:val="008D4956"/>
    <w:rsid w:val="008F22C7"/>
    <w:rsid w:val="008F6ED5"/>
    <w:rsid w:val="00900205"/>
    <w:rsid w:val="00901B61"/>
    <w:rsid w:val="00910EBA"/>
    <w:rsid w:val="009136CF"/>
    <w:rsid w:val="00920400"/>
    <w:rsid w:val="00920756"/>
    <w:rsid w:val="00925D41"/>
    <w:rsid w:val="00930D4C"/>
    <w:rsid w:val="0094226C"/>
    <w:rsid w:val="00942440"/>
    <w:rsid w:val="009446F9"/>
    <w:rsid w:val="00951C37"/>
    <w:rsid w:val="00954D7C"/>
    <w:rsid w:val="0095577D"/>
    <w:rsid w:val="009567E5"/>
    <w:rsid w:val="00963977"/>
    <w:rsid w:val="009673C9"/>
    <w:rsid w:val="009709E9"/>
    <w:rsid w:val="0097340B"/>
    <w:rsid w:val="00973427"/>
    <w:rsid w:val="00987C78"/>
    <w:rsid w:val="00990372"/>
    <w:rsid w:val="0099765B"/>
    <w:rsid w:val="009A1F37"/>
    <w:rsid w:val="009A652D"/>
    <w:rsid w:val="009A6FF5"/>
    <w:rsid w:val="009B01A2"/>
    <w:rsid w:val="009B084F"/>
    <w:rsid w:val="009C033B"/>
    <w:rsid w:val="009C05E8"/>
    <w:rsid w:val="009C099A"/>
    <w:rsid w:val="009C2394"/>
    <w:rsid w:val="009C5DBD"/>
    <w:rsid w:val="009C7B00"/>
    <w:rsid w:val="009D1FE7"/>
    <w:rsid w:val="009D334B"/>
    <w:rsid w:val="009D7960"/>
    <w:rsid w:val="009E1016"/>
    <w:rsid w:val="009E1D83"/>
    <w:rsid w:val="009E20CF"/>
    <w:rsid w:val="009E2275"/>
    <w:rsid w:val="009E50D9"/>
    <w:rsid w:val="009E6B03"/>
    <w:rsid w:val="009F3A19"/>
    <w:rsid w:val="00A016FC"/>
    <w:rsid w:val="00A06927"/>
    <w:rsid w:val="00A143BA"/>
    <w:rsid w:val="00A1732D"/>
    <w:rsid w:val="00A331AF"/>
    <w:rsid w:val="00A343BD"/>
    <w:rsid w:val="00A36966"/>
    <w:rsid w:val="00A46313"/>
    <w:rsid w:val="00A60413"/>
    <w:rsid w:val="00A646F4"/>
    <w:rsid w:val="00A65EB1"/>
    <w:rsid w:val="00A70688"/>
    <w:rsid w:val="00A91DD1"/>
    <w:rsid w:val="00A929E3"/>
    <w:rsid w:val="00AA6BE1"/>
    <w:rsid w:val="00AB284A"/>
    <w:rsid w:val="00AB5D06"/>
    <w:rsid w:val="00AB6A41"/>
    <w:rsid w:val="00AC3A22"/>
    <w:rsid w:val="00AC3F06"/>
    <w:rsid w:val="00AC42ED"/>
    <w:rsid w:val="00AD24F4"/>
    <w:rsid w:val="00AD2896"/>
    <w:rsid w:val="00AD6C9F"/>
    <w:rsid w:val="00AD6FFE"/>
    <w:rsid w:val="00AE3314"/>
    <w:rsid w:val="00AF662A"/>
    <w:rsid w:val="00B01787"/>
    <w:rsid w:val="00B07225"/>
    <w:rsid w:val="00B074A4"/>
    <w:rsid w:val="00B25A5F"/>
    <w:rsid w:val="00B31BDA"/>
    <w:rsid w:val="00B35899"/>
    <w:rsid w:val="00B37E00"/>
    <w:rsid w:val="00B43B05"/>
    <w:rsid w:val="00B46787"/>
    <w:rsid w:val="00B63FB1"/>
    <w:rsid w:val="00B6570D"/>
    <w:rsid w:val="00B67EB0"/>
    <w:rsid w:val="00B734CB"/>
    <w:rsid w:val="00B74032"/>
    <w:rsid w:val="00B8295B"/>
    <w:rsid w:val="00B87E70"/>
    <w:rsid w:val="00B9697F"/>
    <w:rsid w:val="00BA1340"/>
    <w:rsid w:val="00BA715F"/>
    <w:rsid w:val="00BB15DF"/>
    <w:rsid w:val="00BC416A"/>
    <w:rsid w:val="00BC50E8"/>
    <w:rsid w:val="00BD30A8"/>
    <w:rsid w:val="00BE096F"/>
    <w:rsid w:val="00BE28FD"/>
    <w:rsid w:val="00BE3FFF"/>
    <w:rsid w:val="00BE7456"/>
    <w:rsid w:val="00BF5F8E"/>
    <w:rsid w:val="00C006AA"/>
    <w:rsid w:val="00C02F5E"/>
    <w:rsid w:val="00C0424B"/>
    <w:rsid w:val="00C04771"/>
    <w:rsid w:val="00C05023"/>
    <w:rsid w:val="00C06E30"/>
    <w:rsid w:val="00C20D09"/>
    <w:rsid w:val="00C20DD5"/>
    <w:rsid w:val="00C235E8"/>
    <w:rsid w:val="00C248DB"/>
    <w:rsid w:val="00C32B4A"/>
    <w:rsid w:val="00C32D25"/>
    <w:rsid w:val="00C464F4"/>
    <w:rsid w:val="00C51AB4"/>
    <w:rsid w:val="00C52522"/>
    <w:rsid w:val="00C70143"/>
    <w:rsid w:val="00C73022"/>
    <w:rsid w:val="00C74984"/>
    <w:rsid w:val="00C77F74"/>
    <w:rsid w:val="00C82FEF"/>
    <w:rsid w:val="00C83E34"/>
    <w:rsid w:val="00C85D0F"/>
    <w:rsid w:val="00C90FA4"/>
    <w:rsid w:val="00C9395A"/>
    <w:rsid w:val="00C963C9"/>
    <w:rsid w:val="00C96D43"/>
    <w:rsid w:val="00CA7433"/>
    <w:rsid w:val="00CB10B4"/>
    <w:rsid w:val="00CB5232"/>
    <w:rsid w:val="00CC11E5"/>
    <w:rsid w:val="00CC3C02"/>
    <w:rsid w:val="00CD59CF"/>
    <w:rsid w:val="00CE6CF2"/>
    <w:rsid w:val="00CF1C9E"/>
    <w:rsid w:val="00D015FD"/>
    <w:rsid w:val="00D07E48"/>
    <w:rsid w:val="00D22017"/>
    <w:rsid w:val="00D37D04"/>
    <w:rsid w:val="00D4057A"/>
    <w:rsid w:val="00D45DA9"/>
    <w:rsid w:val="00D520E4"/>
    <w:rsid w:val="00D6373A"/>
    <w:rsid w:val="00D6710F"/>
    <w:rsid w:val="00D734B8"/>
    <w:rsid w:val="00D84E62"/>
    <w:rsid w:val="00D92655"/>
    <w:rsid w:val="00DA3ACF"/>
    <w:rsid w:val="00DA52AA"/>
    <w:rsid w:val="00DA78EE"/>
    <w:rsid w:val="00DB2B36"/>
    <w:rsid w:val="00DB5D5A"/>
    <w:rsid w:val="00DC0715"/>
    <w:rsid w:val="00DC1D69"/>
    <w:rsid w:val="00DC5122"/>
    <w:rsid w:val="00DC74DD"/>
    <w:rsid w:val="00DD5747"/>
    <w:rsid w:val="00DD6681"/>
    <w:rsid w:val="00DD6C51"/>
    <w:rsid w:val="00DE4B66"/>
    <w:rsid w:val="00DF1C11"/>
    <w:rsid w:val="00DF48E2"/>
    <w:rsid w:val="00E03415"/>
    <w:rsid w:val="00E039A4"/>
    <w:rsid w:val="00E0557B"/>
    <w:rsid w:val="00E10594"/>
    <w:rsid w:val="00E2005B"/>
    <w:rsid w:val="00E2437E"/>
    <w:rsid w:val="00E2685F"/>
    <w:rsid w:val="00E34B4D"/>
    <w:rsid w:val="00E428E9"/>
    <w:rsid w:val="00E42E5C"/>
    <w:rsid w:val="00E46EB6"/>
    <w:rsid w:val="00E5117B"/>
    <w:rsid w:val="00E5271C"/>
    <w:rsid w:val="00E54A2C"/>
    <w:rsid w:val="00E56058"/>
    <w:rsid w:val="00E6662D"/>
    <w:rsid w:val="00E73C0B"/>
    <w:rsid w:val="00E808A9"/>
    <w:rsid w:val="00E854D1"/>
    <w:rsid w:val="00E87299"/>
    <w:rsid w:val="00E87D5F"/>
    <w:rsid w:val="00E902CE"/>
    <w:rsid w:val="00E912FA"/>
    <w:rsid w:val="00EA026C"/>
    <w:rsid w:val="00EA208D"/>
    <w:rsid w:val="00EA2414"/>
    <w:rsid w:val="00EB239D"/>
    <w:rsid w:val="00EB63C1"/>
    <w:rsid w:val="00EC5085"/>
    <w:rsid w:val="00ED1E92"/>
    <w:rsid w:val="00EE7850"/>
    <w:rsid w:val="00EF5344"/>
    <w:rsid w:val="00F02FE0"/>
    <w:rsid w:val="00F05613"/>
    <w:rsid w:val="00F106BB"/>
    <w:rsid w:val="00F10DC7"/>
    <w:rsid w:val="00F15F6F"/>
    <w:rsid w:val="00F2017D"/>
    <w:rsid w:val="00F251DF"/>
    <w:rsid w:val="00F25F9C"/>
    <w:rsid w:val="00F4138D"/>
    <w:rsid w:val="00F44037"/>
    <w:rsid w:val="00F442B1"/>
    <w:rsid w:val="00F501EA"/>
    <w:rsid w:val="00F52CAC"/>
    <w:rsid w:val="00F60A5B"/>
    <w:rsid w:val="00F6567A"/>
    <w:rsid w:val="00F7187B"/>
    <w:rsid w:val="00F820E3"/>
    <w:rsid w:val="00F8553A"/>
    <w:rsid w:val="00F905CC"/>
    <w:rsid w:val="00F93A21"/>
    <w:rsid w:val="00F96DF8"/>
    <w:rsid w:val="00FA54EF"/>
    <w:rsid w:val="00FA6D0C"/>
    <w:rsid w:val="00FA710B"/>
    <w:rsid w:val="00FB069F"/>
    <w:rsid w:val="00FB1AE0"/>
    <w:rsid w:val="00FC0A49"/>
    <w:rsid w:val="00FC5BD7"/>
    <w:rsid w:val="00FC71F3"/>
    <w:rsid w:val="00FC7EF2"/>
    <w:rsid w:val="00FD24F7"/>
    <w:rsid w:val="00FF0066"/>
    <w:rsid w:val="00FF3DE0"/>
    <w:rsid w:val="00FF50F1"/>
    <w:rsid w:val="00FF74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762A1AF"/>
  <w15:docId w15:val="{11AF0CAC-22D8-4903-93F9-1BEEEAB6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9A1F37"/>
    <w:pPr>
      <w:widowControl w:val="0"/>
      <w:autoSpaceDE w:val="0"/>
      <w:autoSpaceDN w:val="0"/>
      <w:spacing w:after="0" w:line="240" w:lineRule="auto"/>
      <w:ind w:left="300"/>
      <w:outlineLvl w:val="0"/>
    </w:pPr>
    <w:rPr>
      <w:rFonts w:ascii="Times New Roman" w:eastAsia="Times New Roman" w:hAnsi="Times New Roman" w:cs="Times New Roman"/>
      <w:b/>
      <w:bCs/>
      <w:sz w:val="24"/>
      <w:szCs w:val="24"/>
      <w:lang w:val="en-GB" w:eastAsia="en-GB" w:bidi="en-GB"/>
    </w:rPr>
  </w:style>
  <w:style w:type="paragraph" w:styleId="Naslov2">
    <w:name w:val="heading 2"/>
    <w:basedOn w:val="Normal"/>
    <w:next w:val="Normal"/>
    <w:link w:val="Naslov2Char"/>
    <w:uiPriority w:val="9"/>
    <w:semiHidden/>
    <w:unhideWhenUsed/>
    <w:qFormat/>
    <w:rsid w:val="00FB06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semiHidden/>
    <w:unhideWhenUsed/>
    <w:qFormat/>
    <w:rsid w:val="00FB06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semiHidden/>
    <w:unhideWhenUsed/>
    <w:qFormat/>
    <w:rsid w:val="00FB06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8">
    <w:name w:val="heading 8"/>
    <w:basedOn w:val="Normal"/>
    <w:next w:val="Normal"/>
    <w:link w:val="Naslov8Char"/>
    <w:uiPriority w:val="9"/>
    <w:semiHidden/>
    <w:unhideWhenUsed/>
    <w:qFormat/>
    <w:rsid w:val="00FB069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9C05E8"/>
    <w:pPr>
      <w:spacing w:after="0" w:line="240" w:lineRule="auto"/>
    </w:pPr>
    <w:rPr>
      <w:rFonts w:ascii="Calibri" w:eastAsia="Calibri" w:hAnsi="Calibri" w:cs="Times New Roman"/>
    </w:rPr>
  </w:style>
  <w:style w:type="paragraph" w:styleId="Zaglavlje">
    <w:name w:val="header"/>
    <w:basedOn w:val="Normal"/>
    <w:link w:val="ZaglavljeChar"/>
    <w:uiPriority w:val="99"/>
    <w:unhideWhenUsed/>
    <w:rsid w:val="00C20DD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20DD5"/>
  </w:style>
  <w:style w:type="paragraph" w:styleId="Podnoje">
    <w:name w:val="footer"/>
    <w:basedOn w:val="Normal"/>
    <w:link w:val="PodnojeChar"/>
    <w:uiPriority w:val="99"/>
    <w:unhideWhenUsed/>
    <w:rsid w:val="00C20DD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20DD5"/>
  </w:style>
  <w:style w:type="paragraph" w:styleId="Tekstbalonia">
    <w:name w:val="Balloon Text"/>
    <w:basedOn w:val="Normal"/>
    <w:link w:val="TekstbaloniaChar"/>
    <w:uiPriority w:val="99"/>
    <w:semiHidden/>
    <w:unhideWhenUsed/>
    <w:rsid w:val="002B7CC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B7CCE"/>
    <w:rPr>
      <w:rFonts w:ascii="Tahoma" w:hAnsi="Tahoma" w:cs="Tahoma"/>
      <w:sz w:val="16"/>
      <w:szCs w:val="16"/>
    </w:rPr>
  </w:style>
  <w:style w:type="paragraph" w:styleId="Tekstfusnote">
    <w:name w:val="footnote text"/>
    <w:basedOn w:val="Normal"/>
    <w:link w:val="TekstfusnoteChar"/>
    <w:uiPriority w:val="99"/>
    <w:semiHidden/>
    <w:unhideWhenUsed/>
    <w:rsid w:val="0031707F"/>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1707F"/>
    <w:rPr>
      <w:sz w:val="20"/>
      <w:szCs w:val="20"/>
    </w:rPr>
  </w:style>
  <w:style w:type="character" w:styleId="Referencafusnote">
    <w:name w:val="footnote reference"/>
    <w:basedOn w:val="Zadanifontodlomka"/>
    <w:uiPriority w:val="99"/>
    <w:semiHidden/>
    <w:unhideWhenUsed/>
    <w:rsid w:val="0031707F"/>
    <w:rPr>
      <w:vertAlign w:val="superscript"/>
    </w:rPr>
  </w:style>
  <w:style w:type="paragraph" w:styleId="Tijeloteksta">
    <w:name w:val="Body Text"/>
    <w:basedOn w:val="Normal"/>
    <w:link w:val="TijelotekstaChar"/>
    <w:uiPriority w:val="1"/>
    <w:qFormat/>
    <w:rsid w:val="001C3678"/>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TijelotekstaChar">
    <w:name w:val="Tijelo teksta Char"/>
    <w:basedOn w:val="Zadanifontodlomka"/>
    <w:link w:val="Tijeloteksta"/>
    <w:uiPriority w:val="1"/>
    <w:rsid w:val="001C3678"/>
    <w:rPr>
      <w:rFonts w:ascii="Times New Roman" w:eastAsia="Times New Roman" w:hAnsi="Times New Roman" w:cs="Times New Roman"/>
      <w:sz w:val="24"/>
      <w:szCs w:val="24"/>
      <w:lang w:val="en-GB" w:eastAsia="en-GB" w:bidi="en-GB"/>
    </w:rPr>
  </w:style>
  <w:style w:type="character" w:customStyle="1" w:styleId="Naslov1Char">
    <w:name w:val="Naslov 1 Char"/>
    <w:basedOn w:val="Zadanifontodlomka"/>
    <w:link w:val="Naslov1"/>
    <w:uiPriority w:val="1"/>
    <w:rsid w:val="009A1F37"/>
    <w:rPr>
      <w:rFonts w:ascii="Times New Roman" w:eastAsia="Times New Roman" w:hAnsi="Times New Roman" w:cs="Times New Roman"/>
      <w:b/>
      <w:bCs/>
      <w:sz w:val="24"/>
      <w:szCs w:val="24"/>
      <w:lang w:val="en-GB" w:eastAsia="en-GB" w:bidi="en-GB"/>
    </w:rPr>
  </w:style>
  <w:style w:type="table" w:styleId="Reetkatablice">
    <w:name w:val="Table Grid"/>
    <w:basedOn w:val="Obinatablica"/>
    <w:uiPriority w:val="39"/>
    <w:rsid w:val="00B67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D1CDE"/>
    <w:pPr>
      <w:ind w:left="720"/>
      <w:contextualSpacing/>
    </w:pPr>
  </w:style>
  <w:style w:type="character" w:customStyle="1" w:styleId="Naslov2Char">
    <w:name w:val="Naslov 2 Char"/>
    <w:basedOn w:val="Zadanifontodlomka"/>
    <w:link w:val="Naslov2"/>
    <w:uiPriority w:val="9"/>
    <w:semiHidden/>
    <w:rsid w:val="00FB069F"/>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semiHidden/>
    <w:rsid w:val="00FB069F"/>
    <w:rPr>
      <w:rFonts w:asciiTheme="majorHAnsi" w:eastAsiaTheme="majorEastAsia" w:hAnsiTheme="majorHAnsi" w:cstheme="majorBidi"/>
      <w:color w:val="1F3763" w:themeColor="accent1" w:themeShade="7F"/>
      <w:sz w:val="24"/>
      <w:szCs w:val="24"/>
    </w:rPr>
  </w:style>
  <w:style w:type="character" w:customStyle="1" w:styleId="Naslov4Char">
    <w:name w:val="Naslov 4 Char"/>
    <w:basedOn w:val="Zadanifontodlomka"/>
    <w:link w:val="Naslov4"/>
    <w:uiPriority w:val="9"/>
    <w:semiHidden/>
    <w:rsid w:val="00FB069F"/>
    <w:rPr>
      <w:rFonts w:asciiTheme="majorHAnsi" w:eastAsiaTheme="majorEastAsia" w:hAnsiTheme="majorHAnsi" w:cstheme="majorBidi"/>
      <w:i/>
      <w:iCs/>
      <w:color w:val="2F5496" w:themeColor="accent1" w:themeShade="BF"/>
    </w:rPr>
  </w:style>
  <w:style w:type="character" w:customStyle="1" w:styleId="Naslov8Char">
    <w:name w:val="Naslov 8 Char"/>
    <w:basedOn w:val="Zadanifontodlomka"/>
    <w:link w:val="Naslov8"/>
    <w:uiPriority w:val="9"/>
    <w:semiHidden/>
    <w:rsid w:val="00FB069F"/>
    <w:rPr>
      <w:rFonts w:asciiTheme="majorHAnsi" w:eastAsiaTheme="majorEastAsia" w:hAnsiTheme="majorHAnsi" w:cstheme="majorBidi"/>
      <w:color w:val="272727" w:themeColor="text1" w:themeTint="D8"/>
      <w:sz w:val="21"/>
      <w:szCs w:val="21"/>
    </w:rPr>
  </w:style>
  <w:style w:type="paragraph" w:customStyle="1" w:styleId="CellHeader">
    <w:name w:val="CellHeader"/>
    <w:basedOn w:val="Normal"/>
    <w:qFormat/>
    <w:rsid w:val="00FB069F"/>
    <w:pPr>
      <w:overflowPunct w:val="0"/>
      <w:autoSpaceDE w:val="0"/>
      <w:autoSpaceDN w:val="0"/>
      <w:adjustRightInd w:val="0"/>
      <w:spacing w:after="120" w:line="240" w:lineRule="auto"/>
      <w:jc w:val="both"/>
      <w:textAlignment w:val="baseline"/>
    </w:pPr>
    <w:rPr>
      <w:rFonts w:ascii="Times New Roman" w:eastAsia="Times New Roman" w:hAnsi="Times New Roman" w:cs="Arial"/>
      <w:bCs/>
      <w:sz w:val="20"/>
      <w:lang w:val="sl-SI" w:eastAsia="hr-HR"/>
    </w:rPr>
  </w:style>
  <w:style w:type="paragraph" w:customStyle="1" w:styleId="CellColumn">
    <w:name w:val="CellColumn"/>
    <w:basedOn w:val="CellHeader"/>
    <w:qFormat/>
    <w:rsid w:val="00FB069F"/>
  </w:style>
  <w:style w:type="table" w:customStyle="1" w:styleId="StilTablice">
    <w:name w:val="StilTablice"/>
    <w:basedOn w:val="Obinatablica"/>
    <w:uiPriority w:val="99"/>
    <w:rsid w:val="00FB069F"/>
    <w:pPr>
      <w:spacing w:after="120" w:line="240" w:lineRule="auto"/>
      <w:jc w:val="center"/>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character" w:styleId="Referencakomentara">
    <w:name w:val="annotation reference"/>
    <w:basedOn w:val="Zadanifontodlomka"/>
    <w:uiPriority w:val="99"/>
    <w:semiHidden/>
    <w:unhideWhenUsed/>
    <w:rsid w:val="0044177F"/>
    <w:rPr>
      <w:sz w:val="16"/>
      <w:szCs w:val="16"/>
    </w:rPr>
  </w:style>
  <w:style w:type="paragraph" w:styleId="Tekstkomentara">
    <w:name w:val="annotation text"/>
    <w:basedOn w:val="Normal"/>
    <w:link w:val="TekstkomentaraChar"/>
    <w:uiPriority w:val="99"/>
    <w:semiHidden/>
    <w:unhideWhenUsed/>
    <w:rsid w:val="0044177F"/>
    <w:pPr>
      <w:spacing w:line="240" w:lineRule="auto"/>
    </w:pPr>
    <w:rPr>
      <w:sz w:val="20"/>
      <w:szCs w:val="20"/>
    </w:rPr>
  </w:style>
  <w:style w:type="character" w:customStyle="1" w:styleId="TekstkomentaraChar">
    <w:name w:val="Tekst komentara Char"/>
    <w:basedOn w:val="Zadanifontodlomka"/>
    <w:link w:val="Tekstkomentara"/>
    <w:uiPriority w:val="99"/>
    <w:semiHidden/>
    <w:rsid w:val="0044177F"/>
    <w:rPr>
      <w:sz w:val="20"/>
      <w:szCs w:val="20"/>
    </w:rPr>
  </w:style>
  <w:style w:type="paragraph" w:styleId="Predmetkomentara">
    <w:name w:val="annotation subject"/>
    <w:basedOn w:val="Tekstkomentara"/>
    <w:next w:val="Tekstkomentara"/>
    <w:link w:val="PredmetkomentaraChar"/>
    <w:uiPriority w:val="99"/>
    <w:semiHidden/>
    <w:unhideWhenUsed/>
    <w:rsid w:val="0044177F"/>
    <w:rPr>
      <w:b/>
      <w:bCs/>
    </w:rPr>
  </w:style>
  <w:style w:type="character" w:customStyle="1" w:styleId="PredmetkomentaraChar">
    <w:name w:val="Predmet komentara Char"/>
    <w:basedOn w:val="TekstkomentaraChar"/>
    <w:link w:val="Predmetkomentara"/>
    <w:uiPriority w:val="99"/>
    <w:semiHidden/>
    <w:rsid w:val="0044177F"/>
    <w:rPr>
      <w:b/>
      <w:bCs/>
      <w:sz w:val="20"/>
      <w:szCs w:val="20"/>
    </w:rPr>
  </w:style>
  <w:style w:type="paragraph" w:styleId="Revizija">
    <w:name w:val="Revision"/>
    <w:hidden/>
    <w:uiPriority w:val="99"/>
    <w:semiHidden/>
    <w:rsid w:val="00C235E8"/>
    <w:pPr>
      <w:spacing w:after="0" w:line="240" w:lineRule="auto"/>
    </w:pPr>
  </w:style>
  <w:style w:type="paragraph" w:styleId="TOCNaslov">
    <w:name w:val="TOC Heading"/>
    <w:basedOn w:val="Naslov1"/>
    <w:next w:val="Normal"/>
    <w:uiPriority w:val="39"/>
    <w:unhideWhenUsed/>
    <w:qFormat/>
    <w:rsid w:val="007403E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hr-HR" w:eastAsia="hr-HR" w:bidi="ar-SA"/>
    </w:rPr>
  </w:style>
  <w:style w:type="paragraph" w:styleId="Sadraj1">
    <w:name w:val="toc 1"/>
    <w:basedOn w:val="Normal"/>
    <w:next w:val="Normal"/>
    <w:autoRedefine/>
    <w:uiPriority w:val="39"/>
    <w:unhideWhenUsed/>
    <w:rsid w:val="007403ED"/>
    <w:pPr>
      <w:spacing w:after="100"/>
    </w:pPr>
  </w:style>
  <w:style w:type="character" w:styleId="Hiperveza">
    <w:name w:val="Hyperlink"/>
    <w:basedOn w:val="Zadanifontodlomka"/>
    <w:uiPriority w:val="99"/>
    <w:unhideWhenUsed/>
    <w:rsid w:val="007403ED"/>
    <w:rPr>
      <w:color w:val="0563C1" w:themeColor="hyperlink"/>
      <w:u w:val="single"/>
    </w:rPr>
  </w:style>
  <w:style w:type="paragraph" w:styleId="Sadraj3">
    <w:name w:val="toc 3"/>
    <w:basedOn w:val="Normal"/>
    <w:next w:val="Normal"/>
    <w:autoRedefine/>
    <w:uiPriority w:val="39"/>
    <w:unhideWhenUsed/>
    <w:rsid w:val="00DD6C5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75">
      <w:bodyDiv w:val="1"/>
      <w:marLeft w:val="0"/>
      <w:marRight w:val="0"/>
      <w:marTop w:val="0"/>
      <w:marBottom w:val="0"/>
      <w:divBdr>
        <w:top w:val="none" w:sz="0" w:space="0" w:color="auto"/>
        <w:left w:val="none" w:sz="0" w:space="0" w:color="auto"/>
        <w:bottom w:val="none" w:sz="0" w:space="0" w:color="auto"/>
        <w:right w:val="none" w:sz="0" w:space="0" w:color="auto"/>
      </w:divBdr>
    </w:div>
    <w:div w:id="14426489">
      <w:bodyDiv w:val="1"/>
      <w:marLeft w:val="0"/>
      <w:marRight w:val="0"/>
      <w:marTop w:val="0"/>
      <w:marBottom w:val="0"/>
      <w:divBdr>
        <w:top w:val="none" w:sz="0" w:space="0" w:color="auto"/>
        <w:left w:val="none" w:sz="0" w:space="0" w:color="auto"/>
        <w:bottom w:val="none" w:sz="0" w:space="0" w:color="auto"/>
        <w:right w:val="none" w:sz="0" w:space="0" w:color="auto"/>
      </w:divBdr>
    </w:div>
    <w:div w:id="78330494">
      <w:bodyDiv w:val="1"/>
      <w:marLeft w:val="0"/>
      <w:marRight w:val="0"/>
      <w:marTop w:val="0"/>
      <w:marBottom w:val="0"/>
      <w:divBdr>
        <w:top w:val="none" w:sz="0" w:space="0" w:color="auto"/>
        <w:left w:val="none" w:sz="0" w:space="0" w:color="auto"/>
        <w:bottom w:val="none" w:sz="0" w:space="0" w:color="auto"/>
        <w:right w:val="none" w:sz="0" w:space="0" w:color="auto"/>
      </w:divBdr>
    </w:div>
    <w:div w:id="88893967">
      <w:bodyDiv w:val="1"/>
      <w:marLeft w:val="0"/>
      <w:marRight w:val="0"/>
      <w:marTop w:val="0"/>
      <w:marBottom w:val="0"/>
      <w:divBdr>
        <w:top w:val="none" w:sz="0" w:space="0" w:color="auto"/>
        <w:left w:val="none" w:sz="0" w:space="0" w:color="auto"/>
        <w:bottom w:val="none" w:sz="0" w:space="0" w:color="auto"/>
        <w:right w:val="none" w:sz="0" w:space="0" w:color="auto"/>
      </w:divBdr>
    </w:div>
    <w:div w:id="334260797">
      <w:bodyDiv w:val="1"/>
      <w:marLeft w:val="0"/>
      <w:marRight w:val="0"/>
      <w:marTop w:val="0"/>
      <w:marBottom w:val="0"/>
      <w:divBdr>
        <w:top w:val="none" w:sz="0" w:space="0" w:color="auto"/>
        <w:left w:val="none" w:sz="0" w:space="0" w:color="auto"/>
        <w:bottom w:val="none" w:sz="0" w:space="0" w:color="auto"/>
        <w:right w:val="none" w:sz="0" w:space="0" w:color="auto"/>
      </w:divBdr>
    </w:div>
    <w:div w:id="401218572">
      <w:bodyDiv w:val="1"/>
      <w:marLeft w:val="0"/>
      <w:marRight w:val="0"/>
      <w:marTop w:val="0"/>
      <w:marBottom w:val="0"/>
      <w:divBdr>
        <w:top w:val="none" w:sz="0" w:space="0" w:color="auto"/>
        <w:left w:val="none" w:sz="0" w:space="0" w:color="auto"/>
        <w:bottom w:val="none" w:sz="0" w:space="0" w:color="auto"/>
        <w:right w:val="none" w:sz="0" w:space="0" w:color="auto"/>
      </w:divBdr>
    </w:div>
    <w:div w:id="488248018">
      <w:bodyDiv w:val="1"/>
      <w:marLeft w:val="0"/>
      <w:marRight w:val="0"/>
      <w:marTop w:val="0"/>
      <w:marBottom w:val="0"/>
      <w:divBdr>
        <w:top w:val="none" w:sz="0" w:space="0" w:color="auto"/>
        <w:left w:val="none" w:sz="0" w:space="0" w:color="auto"/>
        <w:bottom w:val="none" w:sz="0" w:space="0" w:color="auto"/>
        <w:right w:val="none" w:sz="0" w:space="0" w:color="auto"/>
      </w:divBdr>
    </w:div>
    <w:div w:id="489563489">
      <w:bodyDiv w:val="1"/>
      <w:marLeft w:val="0"/>
      <w:marRight w:val="0"/>
      <w:marTop w:val="0"/>
      <w:marBottom w:val="0"/>
      <w:divBdr>
        <w:top w:val="none" w:sz="0" w:space="0" w:color="auto"/>
        <w:left w:val="none" w:sz="0" w:space="0" w:color="auto"/>
        <w:bottom w:val="none" w:sz="0" w:space="0" w:color="auto"/>
        <w:right w:val="none" w:sz="0" w:space="0" w:color="auto"/>
      </w:divBdr>
    </w:div>
    <w:div w:id="533882779">
      <w:bodyDiv w:val="1"/>
      <w:marLeft w:val="0"/>
      <w:marRight w:val="0"/>
      <w:marTop w:val="0"/>
      <w:marBottom w:val="0"/>
      <w:divBdr>
        <w:top w:val="none" w:sz="0" w:space="0" w:color="auto"/>
        <w:left w:val="none" w:sz="0" w:space="0" w:color="auto"/>
        <w:bottom w:val="none" w:sz="0" w:space="0" w:color="auto"/>
        <w:right w:val="none" w:sz="0" w:space="0" w:color="auto"/>
      </w:divBdr>
    </w:div>
    <w:div w:id="593904764">
      <w:bodyDiv w:val="1"/>
      <w:marLeft w:val="0"/>
      <w:marRight w:val="0"/>
      <w:marTop w:val="0"/>
      <w:marBottom w:val="0"/>
      <w:divBdr>
        <w:top w:val="none" w:sz="0" w:space="0" w:color="auto"/>
        <w:left w:val="none" w:sz="0" w:space="0" w:color="auto"/>
        <w:bottom w:val="none" w:sz="0" w:space="0" w:color="auto"/>
        <w:right w:val="none" w:sz="0" w:space="0" w:color="auto"/>
      </w:divBdr>
    </w:div>
    <w:div w:id="605041966">
      <w:bodyDiv w:val="1"/>
      <w:marLeft w:val="0"/>
      <w:marRight w:val="0"/>
      <w:marTop w:val="0"/>
      <w:marBottom w:val="0"/>
      <w:divBdr>
        <w:top w:val="none" w:sz="0" w:space="0" w:color="auto"/>
        <w:left w:val="none" w:sz="0" w:space="0" w:color="auto"/>
        <w:bottom w:val="none" w:sz="0" w:space="0" w:color="auto"/>
        <w:right w:val="none" w:sz="0" w:space="0" w:color="auto"/>
      </w:divBdr>
    </w:div>
    <w:div w:id="651910756">
      <w:bodyDiv w:val="1"/>
      <w:marLeft w:val="0"/>
      <w:marRight w:val="0"/>
      <w:marTop w:val="0"/>
      <w:marBottom w:val="0"/>
      <w:divBdr>
        <w:top w:val="none" w:sz="0" w:space="0" w:color="auto"/>
        <w:left w:val="none" w:sz="0" w:space="0" w:color="auto"/>
        <w:bottom w:val="none" w:sz="0" w:space="0" w:color="auto"/>
        <w:right w:val="none" w:sz="0" w:space="0" w:color="auto"/>
      </w:divBdr>
    </w:div>
    <w:div w:id="738291236">
      <w:bodyDiv w:val="1"/>
      <w:marLeft w:val="0"/>
      <w:marRight w:val="0"/>
      <w:marTop w:val="0"/>
      <w:marBottom w:val="0"/>
      <w:divBdr>
        <w:top w:val="none" w:sz="0" w:space="0" w:color="auto"/>
        <w:left w:val="none" w:sz="0" w:space="0" w:color="auto"/>
        <w:bottom w:val="none" w:sz="0" w:space="0" w:color="auto"/>
        <w:right w:val="none" w:sz="0" w:space="0" w:color="auto"/>
      </w:divBdr>
    </w:div>
    <w:div w:id="842861845">
      <w:bodyDiv w:val="1"/>
      <w:marLeft w:val="0"/>
      <w:marRight w:val="0"/>
      <w:marTop w:val="0"/>
      <w:marBottom w:val="0"/>
      <w:divBdr>
        <w:top w:val="none" w:sz="0" w:space="0" w:color="auto"/>
        <w:left w:val="none" w:sz="0" w:space="0" w:color="auto"/>
        <w:bottom w:val="none" w:sz="0" w:space="0" w:color="auto"/>
        <w:right w:val="none" w:sz="0" w:space="0" w:color="auto"/>
      </w:divBdr>
    </w:div>
    <w:div w:id="1280181122">
      <w:bodyDiv w:val="1"/>
      <w:marLeft w:val="0"/>
      <w:marRight w:val="0"/>
      <w:marTop w:val="0"/>
      <w:marBottom w:val="0"/>
      <w:divBdr>
        <w:top w:val="none" w:sz="0" w:space="0" w:color="auto"/>
        <w:left w:val="none" w:sz="0" w:space="0" w:color="auto"/>
        <w:bottom w:val="none" w:sz="0" w:space="0" w:color="auto"/>
        <w:right w:val="none" w:sz="0" w:space="0" w:color="auto"/>
      </w:divBdr>
    </w:div>
    <w:div w:id="1336347439">
      <w:bodyDiv w:val="1"/>
      <w:marLeft w:val="0"/>
      <w:marRight w:val="0"/>
      <w:marTop w:val="0"/>
      <w:marBottom w:val="0"/>
      <w:divBdr>
        <w:top w:val="none" w:sz="0" w:space="0" w:color="auto"/>
        <w:left w:val="none" w:sz="0" w:space="0" w:color="auto"/>
        <w:bottom w:val="none" w:sz="0" w:space="0" w:color="auto"/>
        <w:right w:val="none" w:sz="0" w:space="0" w:color="auto"/>
      </w:divBdr>
    </w:div>
    <w:div w:id="1593126938">
      <w:bodyDiv w:val="1"/>
      <w:marLeft w:val="0"/>
      <w:marRight w:val="0"/>
      <w:marTop w:val="0"/>
      <w:marBottom w:val="0"/>
      <w:divBdr>
        <w:top w:val="none" w:sz="0" w:space="0" w:color="auto"/>
        <w:left w:val="none" w:sz="0" w:space="0" w:color="auto"/>
        <w:bottom w:val="none" w:sz="0" w:space="0" w:color="auto"/>
        <w:right w:val="none" w:sz="0" w:space="0" w:color="auto"/>
      </w:divBdr>
    </w:div>
    <w:div w:id="1629624125">
      <w:bodyDiv w:val="1"/>
      <w:marLeft w:val="0"/>
      <w:marRight w:val="0"/>
      <w:marTop w:val="0"/>
      <w:marBottom w:val="0"/>
      <w:divBdr>
        <w:top w:val="none" w:sz="0" w:space="0" w:color="auto"/>
        <w:left w:val="none" w:sz="0" w:space="0" w:color="auto"/>
        <w:bottom w:val="none" w:sz="0" w:space="0" w:color="auto"/>
        <w:right w:val="none" w:sz="0" w:space="0" w:color="auto"/>
      </w:divBdr>
    </w:div>
    <w:div w:id="1645768007">
      <w:bodyDiv w:val="1"/>
      <w:marLeft w:val="0"/>
      <w:marRight w:val="0"/>
      <w:marTop w:val="0"/>
      <w:marBottom w:val="0"/>
      <w:divBdr>
        <w:top w:val="none" w:sz="0" w:space="0" w:color="auto"/>
        <w:left w:val="none" w:sz="0" w:space="0" w:color="auto"/>
        <w:bottom w:val="none" w:sz="0" w:space="0" w:color="auto"/>
        <w:right w:val="none" w:sz="0" w:space="0" w:color="auto"/>
      </w:divBdr>
    </w:div>
    <w:div w:id="1833909904">
      <w:bodyDiv w:val="1"/>
      <w:marLeft w:val="0"/>
      <w:marRight w:val="0"/>
      <w:marTop w:val="0"/>
      <w:marBottom w:val="0"/>
      <w:divBdr>
        <w:top w:val="none" w:sz="0" w:space="0" w:color="auto"/>
        <w:left w:val="none" w:sz="0" w:space="0" w:color="auto"/>
        <w:bottom w:val="none" w:sz="0" w:space="0" w:color="auto"/>
        <w:right w:val="none" w:sz="0" w:space="0" w:color="auto"/>
      </w:divBdr>
    </w:div>
    <w:div w:id="1864247532">
      <w:bodyDiv w:val="1"/>
      <w:marLeft w:val="0"/>
      <w:marRight w:val="0"/>
      <w:marTop w:val="0"/>
      <w:marBottom w:val="0"/>
      <w:divBdr>
        <w:top w:val="none" w:sz="0" w:space="0" w:color="auto"/>
        <w:left w:val="none" w:sz="0" w:space="0" w:color="auto"/>
        <w:bottom w:val="none" w:sz="0" w:space="0" w:color="auto"/>
        <w:right w:val="none" w:sz="0" w:space="0" w:color="auto"/>
      </w:divBdr>
    </w:div>
    <w:div w:id="1864587014">
      <w:bodyDiv w:val="1"/>
      <w:marLeft w:val="0"/>
      <w:marRight w:val="0"/>
      <w:marTop w:val="0"/>
      <w:marBottom w:val="0"/>
      <w:divBdr>
        <w:top w:val="none" w:sz="0" w:space="0" w:color="auto"/>
        <w:left w:val="none" w:sz="0" w:space="0" w:color="auto"/>
        <w:bottom w:val="none" w:sz="0" w:space="0" w:color="auto"/>
        <w:right w:val="none" w:sz="0" w:space="0" w:color="auto"/>
      </w:divBdr>
    </w:div>
    <w:div w:id="1905944572">
      <w:bodyDiv w:val="1"/>
      <w:marLeft w:val="0"/>
      <w:marRight w:val="0"/>
      <w:marTop w:val="0"/>
      <w:marBottom w:val="0"/>
      <w:divBdr>
        <w:top w:val="none" w:sz="0" w:space="0" w:color="auto"/>
        <w:left w:val="none" w:sz="0" w:space="0" w:color="auto"/>
        <w:bottom w:val="none" w:sz="0" w:space="0" w:color="auto"/>
        <w:right w:val="none" w:sz="0" w:space="0" w:color="auto"/>
      </w:divBdr>
    </w:div>
    <w:div w:id="2046638641">
      <w:bodyDiv w:val="1"/>
      <w:marLeft w:val="0"/>
      <w:marRight w:val="0"/>
      <w:marTop w:val="0"/>
      <w:marBottom w:val="0"/>
      <w:divBdr>
        <w:top w:val="none" w:sz="0" w:space="0" w:color="auto"/>
        <w:left w:val="none" w:sz="0" w:space="0" w:color="auto"/>
        <w:bottom w:val="none" w:sz="0" w:space="0" w:color="auto"/>
        <w:right w:val="none" w:sz="0" w:space="0" w:color="auto"/>
      </w:divBdr>
    </w:div>
    <w:div w:id="2081250064">
      <w:bodyDiv w:val="1"/>
      <w:marLeft w:val="0"/>
      <w:marRight w:val="0"/>
      <w:marTop w:val="0"/>
      <w:marBottom w:val="0"/>
      <w:divBdr>
        <w:top w:val="none" w:sz="0" w:space="0" w:color="auto"/>
        <w:left w:val="none" w:sz="0" w:space="0" w:color="auto"/>
        <w:bottom w:val="none" w:sz="0" w:space="0" w:color="auto"/>
        <w:right w:val="none" w:sz="0" w:space="0" w:color="auto"/>
      </w:divBdr>
    </w:div>
    <w:div w:id="20927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hr-HR" sz="1080" b="0" i="0" u="none" strike="noStrike" kern="1200" baseline="0">
                <a:solidFill>
                  <a:srgbClr val="000000"/>
                </a:solidFill>
                <a:latin typeface="Calibri"/>
              </a:defRPr>
            </a:pPr>
            <a:r>
              <a:rPr lang="hr-HR" sz="1080" b="0" i="0" u="none" strike="noStrike" kern="1200" cap="none" spc="0" baseline="0">
                <a:solidFill>
                  <a:srgbClr val="000000"/>
                </a:solidFill>
                <a:uFillTx/>
                <a:latin typeface="Calibri"/>
              </a:rPr>
              <a:t>Prihodi i primici ostvareni u razdoblju 01.01.-31.12.2023.</a:t>
            </a:r>
          </a:p>
        </c:rich>
      </c:tx>
      <c:overlay val="0"/>
      <c:spPr>
        <a:noFill/>
        <a:ln>
          <a:noFill/>
        </a:ln>
      </c:spPr>
    </c:title>
    <c:autoTitleDeleted val="0"/>
    <c:view3D>
      <c:rotX val="29"/>
      <c:rotY val="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dPt>
            <c:idx val="0"/>
            <c:bubble3D val="0"/>
            <c:spPr>
              <a:solidFill>
                <a:srgbClr val="4472C4"/>
              </a:solidFill>
              <a:ln w="25402">
                <a:solidFill>
                  <a:srgbClr val="FFFFFF"/>
                </a:solidFill>
                <a:prstDash val="solid"/>
              </a:ln>
            </c:spPr>
            <c:extLst>
              <c:ext xmlns:c16="http://schemas.microsoft.com/office/drawing/2014/chart" uri="{C3380CC4-5D6E-409C-BE32-E72D297353CC}">
                <c16:uniqueId val="{00000001-CA55-40E8-9C22-E1B7F3C92F67}"/>
              </c:ext>
            </c:extLst>
          </c:dPt>
          <c:dPt>
            <c:idx val="1"/>
            <c:bubble3D val="0"/>
            <c:spPr>
              <a:solidFill>
                <a:srgbClr val="ED7D31"/>
              </a:solidFill>
              <a:ln w="25402">
                <a:solidFill>
                  <a:srgbClr val="FFFFFF"/>
                </a:solidFill>
                <a:prstDash val="solid"/>
              </a:ln>
            </c:spPr>
            <c:extLst>
              <c:ext xmlns:c16="http://schemas.microsoft.com/office/drawing/2014/chart" uri="{C3380CC4-5D6E-409C-BE32-E72D297353CC}">
                <c16:uniqueId val="{00000003-CA55-40E8-9C22-E1B7F3C92F67}"/>
              </c:ext>
            </c:extLst>
          </c:dPt>
          <c:dPt>
            <c:idx val="2"/>
            <c:bubble3D val="0"/>
            <c:spPr>
              <a:solidFill>
                <a:srgbClr val="A5A5A5"/>
              </a:solidFill>
              <a:ln w="25402">
                <a:solidFill>
                  <a:srgbClr val="FFFFFF"/>
                </a:solidFill>
                <a:prstDash val="solid"/>
              </a:ln>
            </c:spPr>
            <c:extLst>
              <c:ext xmlns:c16="http://schemas.microsoft.com/office/drawing/2014/chart" uri="{C3380CC4-5D6E-409C-BE32-E72D297353CC}">
                <c16:uniqueId val="{00000005-CA55-40E8-9C22-E1B7F3C92F67}"/>
              </c:ext>
            </c:extLst>
          </c:dPt>
          <c:dPt>
            <c:idx val="3"/>
            <c:bubble3D val="0"/>
            <c:spPr>
              <a:solidFill>
                <a:srgbClr val="FFC000"/>
              </a:solidFill>
              <a:ln w="25402">
                <a:solidFill>
                  <a:srgbClr val="FFFFFF"/>
                </a:solidFill>
                <a:prstDash val="solid"/>
              </a:ln>
            </c:spPr>
            <c:extLst>
              <c:ext xmlns:c16="http://schemas.microsoft.com/office/drawing/2014/chart" uri="{C3380CC4-5D6E-409C-BE32-E72D297353CC}">
                <c16:uniqueId val="{00000007-CA55-40E8-9C22-E1B7F3C92F67}"/>
              </c:ext>
            </c:extLst>
          </c:dPt>
          <c:dPt>
            <c:idx val="4"/>
            <c:bubble3D val="0"/>
            <c:spPr>
              <a:solidFill>
                <a:srgbClr val="5B9BD5"/>
              </a:solidFill>
              <a:ln w="25402">
                <a:solidFill>
                  <a:srgbClr val="FFFFFF"/>
                </a:solidFill>
                <a:prstDash val="solid"/>
              </a:ln>
            </c:spPr>
            <c:extLst>
              <c:ext xmlns:c16="http://schemas.microsoft.com/office/drawing/2014/chart" uri="{C3380CC4-5D6E-409C-BE32-E72D297353CC}">
                <c16:uniqueId val="{00000009-CA55-40E8-9C22-E1B7F3C92F67}"/>
              </c:ext>
            </c:extLst>
          </c:dPt>
          <c:dLbls>
            <c:dLbl>
              <c:idx val="0"/>
              <c:layout>
                <c:manualLayout>
                  <c:x val="-1.5856150253216787E-2"/>
                  <c:y val="3.3780889307468059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CA55-40E8-9C22-E1B7F3C92F67}"/>
                </c:ext>
              </c:extLst>
            </c:dLbl>
            <c:numFmt formatCode="0.00%" sourceLinked="0"/>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hr-HR" sz="900" b="1" i="0" u="none" strike="noStrike" kern="1200" baseline="0">
                    <a:solidFill>
                      <a:srgbClr val="000000"/>
                    </a:solidFill>
                    <a:latin typeface="Calibri"/>
                  </a:defRPr>
                </a:pPr>
                <a:endParaRPr lang="sr-Latn-RS"/>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Ref>
              <c:f>PRIHODI_I_PRIMICI!$A$4:$A$8</c:f>
              <c:strCache>
                <c:ptCount val="5"/>
                <c:pt idx="0">
                  <c:v>6421 - Naknade za koncesije</c:v>
                </c:pt>
                <c:pt idx="1">
                  <c:v>6514 - Ostale pristojbe i naknade</c:v>
                </c:pt>
                <c:pt idx="2">
                  <c:v>6711 - Prihodi iz nadležnog proračuna za financiranje rashoda poslovanja</c:v>
                </c:pt>
                <c:pt idx="3">
                  <c:v>6712 - Prihodi iz nadležnog proračuna za financiranje rashoda za nabavu nefinancijske imovine</c:v>
                </c:pt>
                <c:pt idx="4">
                  <c:v>6714 - Prihodi iz nadležnog proračuna za financiranje izdataka za financijsku imovinu i otplatu zajmova </c:v>
                </c:pt>
              </c:strCache>
            </c:strRef>
          </c:cat>
          <c:val>
            <c:numRef>
              <c:f>PRIHODI_I_PRIMICI!$B$4:$B$8</c:f>
              <c:numCache>
                <c:formatCode>#,##0.00" "[$€-41A]</c:formatCode>
                <c:ptCount val="5"/>
                <c:pt idx="0">
                  <c:v>126572.89</c:v>
                </c:pt>
                <c:pt idx="1">
                  <c:v>611140.06000000006</c:v>
                </c:pt>
                <c:pt idx="2">
                  <c:v>812617.98</c:v>
                </c:pt>
                <c:pt idx="3">
                  <c:v>2835226.69</c:v>
                </c:pt>
                <c:pt idx="4">
                  <c:v>499860.09</c:v>
                </c:pt>
              </c:numCache>
            </c:numRef>
          </c:val>
          <c:extLst>
            <c:ext xmlns:c16="http://schemas.microsoft.com/office/drawing/2014/chart" uri="{C3380CC4-5D6E-409C-BE32-E72D297353CC}">
              <c16:uniqueId val="{0000000A-CA55-40E8-9C22-E1B7F3C92F67}"/>
            </c:ext>
          </c:extLst>
        </c:ser>
        <c:dLbls>
          <c:showLegendKey val="0"/>
          <c:showVal val="0"/>
          <c:showCatName val="0"/>
          <c:showSerName val="0"/>
          <c:showPercent val="0"/>
          <c:showBubbleSize val="0"/>
          <c:showLeaderLines val="1"/>
        </c:dLbls>
      </c:pie3DChart>
      <c:spPr>
        <a:noFill/>
        <a:ln>
          <a:noFill/>
        </a:ln>
      </c:spPr>
    </c:plotArea>
    <c:legend>
      <c:legendPos val="b"/>
      <c:layout>
        <c:manualLayout>
          <c:xMode val="edge"/>
          <c:yMode val="edge"/>
          <c:x val="7.0203242487333214E-2"/>
          <c:y val="0.58470254747568318"/>
          <c:w val="0.85959330630390884"/>
          <c:h val="0.41529745252431682"/>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hr-HR" sz="900" b="0" i="0" u="none" strike="noStrike" kern="1200" baseline="0">
              <a:solidFill>
                <a:srgbClr val="000000"/>
              </a:solidFill>
              <a:latin typeface="Calibri"/>
            </a:defRPr>
          </a:pPr>
          <a:endParaRPr lang="sr-Latn-R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hr-HR" sz="900" b="0" i="0" u="none" strike="noStrike" kern="1200" baseline="0">
          <a:solidFill>
            <a:srgbClr val="000000"/>
          </a:solidFill>
          <a:latin typeface="Calibri"/>
        </a:defRPr>
      </a:pPr>
      <a:endParaRPr lang="sr-Latn-R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hr-HR" sz="1080" b="0" i="0" u="none" strike="noStrike" kern="1200" baseline="0">
                <a:solidFill>
                  <a:srgbClr val="000000"/>
                </a:solidFill>
                <a:latin typeface="Calibri"/>
              </a:defRPr>
            </a:pPr>
            <a:r>
              <a:rPr lang="hr-HR" sz="1080" b="0" i="0" u="none" strike="noStrike" kern="1200" cap="none" spc="0" baseline="0">
                <a:solidFill>
                  <a:srgbClr val="000000"/>
                </a:solidFill>
                <a:uFillTx/>
                <a:latin typeface="Calibri"/>
              </a:rPr>
              <a:t>Rashodi i izdaci ostvareni u razdoblju 01.01.-31.12.2023.</a:t>
            </a:r>
          </a:p>
        </c:rich>
      </c:tx>
      <c:overlay val="0"/>
      <c:spPr>
        <a:noFill/>
        <a:ln>
          <a:noFill/>
        </a:ln>
      </c:spPr>
    </c:title>
    <c:autoTitleDeleted val="0"/>
    <c:view3D>
      <c:rotX val="28"/>
      <c:rotY val="0"/>
      <c:rAngAx val="0"/>
    </c:view3D>
    <c:floor>
      <c:thickness val="0"/>
      <c:spPr>
        <a:noFill/>
        <a:ln>
          <a:noFill/>
        </a:ln>
      </c:spPr>
    </c:floor>
    <c:sideWall>
      <c:thickness val="0"/>
      <c:spPr>
        <a:noFill/>
        <a:ln>
          <a:noFill/>
        </a:ln>
      </c:spPr>
    </c:sideWall>
    <c:backWall>
      <c:thickness val="0"/>
      <c:spPr>
        <a:noFill/>
        <a:ln>
          <a:noFill/>
        </a:ln>
      </c:spPr>
    </c:backWall>
    <c:plotArea>
      <c:layout/>
      <c:pie3DChart>
        <c:varyColors val="1"/>
        <c:ser>
          <c:idx val="0"/>
          <c:order val="0"/>
          <c:dPt>
            <c:idx val="0"/>
            <c:bubble3D val="0"/>
            <c:spPr>
              <a:solidFill>
                <a:srgbClr val="4472C4"/>
              </a:solidFill>
              <a:ln w="25402">
                <a:solidFill>
                  <a:srgbClr val="FFFFFF"/>
                </a:solidFill>
                <a:prstDash val="solid"/>
              </a:ln>
            </c:spPr>
            <c:extLst>
              <c:ext xmlns:c16="http://schemas.microsoft.com/office/drawing/2014/chart" uri="{C3380CC4-5D6E-409C-BE32-E72D297353CC}">
                <c16:uniqueId val="{00000001-2E6F-413F-931B-4F662D00ADAD}"/>
              </c:ext>
            </c:extLst>
          </c:dPt>
          <c:dPt>
            <c:idx val="1"/>
            <c:bubble3D val="0"/>
            <c:spPr>
              <a:solidFill>
                <a:srgbClr val="ED7D31"/>
              </a:solidFill>
              <a:ln w="25402">
                <a:solidFill>
                  <a:srgbClr val="FFFFFF"/>
                </a:solidFill>
                <a:prstDash val="solid"/>
              </a:ln>
            </c:spPr>
            <c:extLst>
              <c:ext xmlns:c16="http://schemas.microsoft.com/office/drawing/2014/chart" uri="{C3380CC4-5D6E-409C-BE32-E72D297353CC}">
                <c16:uniqueId val="{00000003-2E6F-413F-931B-4F662D00ADAD}"/>
              </c:ext>
            </c:extLst>
          </c:dPt>
          <c:dPt>
            <c:idx val="2"/>
            <c:bubble3D val="0"/>
            <c:spPr>
              <a:solidFill>
                <a:srgbClr val="A5A5A5"/>
              </a:solidFill>
              <a:ln w="25402">
                <a:solidFill>
                  <a:srgbClr val="FFFFFF"/>
                </a:solidFill>
                <a:prstDash val="solid"/>
              </a:ln>
            </c:spPr>
            <c:extLst>
              <c:ext xmlns:c16="http://schemas.microsoft.com/office/drawing/2014/chart" uri="{C3380CC4-5D6E-409C-BE32-E72D297353CC}">
                <c16:uniqueId val="{00000005-2E6F-413F-931B-4F662D00ADAD}"/>
              </c:ext>
            </c:extLst>
          </c:dPt>
          <c:dPt>
            <c:idx val="3"/>
            <c:bubble3D val="0"/>
            <c:spPr>
              <a:solidFill>
                <a:srgbClr val="FFC000"/>
              </a:solidFill>
              <a:ln w="25402">
                <a:solidFill>
                  <a:srgbClr val="FFFFFF"/>
                </a:solidFill>
                <a:prstDash val="solid"/>
              </a:ln>
            </c:spPr>
            <c:extLst>
              <c:ext xmlns:c16="http://schemas.microsoft.com/office/drawing/2014/chart" uri="{C3380CC4-5D6E-409C-BE32-E72D297353CC}">
                <c16:uniqueId val="{00000007-2E6F-413F-931B-4F662D00ADAD}"/>
              </c:ext>
            </c:extLst>
          </c:dPt>
          <c:dPt>
            <c:idx val="4"/>
            <c:bubble3D val="0"/>
            <c:spPr>
              <a:solidFill>
                <a:srgbClr val="5B9BD5"/>
              </a:solidFill>
              <a:ln w="25402">
                <a:solidFill>
                  <a:srgbClr val="FFFFFF"/>
                </a:solidFill>
                <a:prstDash val="solid"/>
              </a:ln>
            </c:spPr>
            <c:extLst>
              <c:ext xmlns:c16="http://schemas.microsoft.com/office/drawing/2014/chart" uri="{C3380CC4-5D6E-409C-BE32-E72D297353CC}">
                <c16:uniqueId val="{00000009-2E6F-413F-931B-4F662D00ADAD}"/>
              </c:ext>
            </c:extLst>
          </c:dPt>
          <c:dLbls>
            <c:dLbl>
              <c:idx val="0"/>
              <c:layout>
                <c:manualLayout>
                  <c:x val="-2.767617618426018E-2"/>
                  <c:y val="5.4259806801546739E-2"/>
                </c:manualLayout>
              </c:layout>
              <c:showLegendKey val="0"/>
              <c:showVal val="0"/>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2E6F-413F-931B-4F662D00ADAD}"/>
                </c:ext>
              </c:extLst>
            </c:dLbl>
            <c:numFmt formatCode="0.00%" sourceLinked="0"/>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hr-HR" sz="900" b="1" i="0" u="none" strike="noStrike" kern="1200" baseline="0">
                    <a:solidFill>
                      <a:srgbClr val="000000"/>
                    </a:solidFill>
                    <a:latin typeface="Calibri"/>
                  </a:defRPr>
                </a:pPr>
                <a:endParaRPr lang="sr-Latn-RS"/>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Ref>
              <c:f>RASHODI_I_IZDACI!$A$4:$A$9</c:f>
              <c:strCache>
                <c:ptCount val="6"/>
                <c:pt idx="0">
                  <c:v>31 - Rashodi za zaposlene</c:v>
                </c:pt>
                <c:pt idx="1">
                  <c:v>32 - Materijalni rashodi</c:v>
                </c:pt>
                <c:pt idx="2">
                  <c:v>34 - Financijski rashodi</c:v>
                </c:pt>
                <c:pt idx="3">
                  <c:v>42 - Rashodi za nabavu proizvedene dugotrajne imovine</c:v>
                </c:pt>
                <c:pt idx="4">
                  <c:v>53 - Dionice i udjeli u glavnici trgovačkih društava u javnom sektoru</c:v>
                </c:pt>
                <c:pt idx="5">
                  <c:v>54 - Izdaci za otplatu glavnice primljenih kredita i zajmova</c:v>
                </c:pt>
              </c:strCache>
            </c:strRef>
          </c:cat>
          <c:val>
            <c:numRef>
              <c:f>RASHODI_I_IZDACI!$B$4:$B$9</c:f>
              <c:numCache>
                <c:formatCode>#,##0.00" "[$€-41A]</c:formatCode>
                <c:ptCount val="6"/>
                <c:pt idx="0">
                  <c:v>192386.84</c:v>
                </c:pt>
                <c:pt idx="1">
                  <c:v>984871.19</c:v>
                </c:pt>
                <c:pt idx="2">
                  <c:v>471259.06</c:v>
                </c:pt>
                <c:pt idx="3">
                  <c:v>2835226.69</c:v>
                </c:pt>
                <c:pt idx="4">
                  <c:v>2500</c:v>
                </c:pt>
                <c:pt idx="5">
                  <c:v>499860.09</c:v>
                </c:pt>
              </c:numCache>
            </c:numRef>
          </c:val>
          <c:extLst>
            <c:ext xmlns:c16="http://schemas.microsoft.com/office/drawing/2014/chart" uri="{C3380CC4-5D6E-409C-BE32-E72D297353CC}">
              <c16:uniqueId val="{0000000A-2E6F-413F-931B-4F662D00ADAD}"/>
            </c:ext>
          </c:extLst>
        </c:ser>
        <c:dLbls>
          <c:showLegendKey val="0"/>
          <c:showVal val="0"/>
          <c:showCatName val="0"/>
          <c:showSerName val="0"/>
          <c:showPercent val="0"/>
          <c:showBubbleSize val="0"/>
          <c:showLeaderLines val="1"/>
        </c:dLbls>
      </c:pie3DChart>
      <c:spPr>
        <a:noFill/>
        <a:ln>
          <a:noFill/>
        </a:ln>
      </c:spPr>
    </c:plotArea>
    <c:legend>
      <c:legendPos val="b"/>
      <c:overlay val="0"/>
      <c:spPr>
        <a:noFill/>
        <a:ln>
          <a:noFill/>
        </a:ln>
      </c:spPr>
      <c:txPr>
        <a:bodyPr lIns="0" tIns="0" rIns="0" bIns="0"/>
        <a:lstStyle/>
        <a:p>
          <a:pPr marL="0" marR="0" indent="0" defTabSz="914400" fontAlgn="auto" hangingPunct="1">
            <a:lnSpc>
              <a:spcPct val="100000"/>
            </a:lnSpc>
            <a:spcBef>
              <a:spcPts val="0"/>
            </a:spcBef>
            <a:spcAft>
              <a:spcPts val="0"/>
            </a:spcAft>
            <a:tabLst/>
            <a:defRPr lang="hr-HR" sz="900" b="0" i="0" u="none" strike="noStrike" kern="1200" baseline="0">
              <a:solidFill>
                <a:srgbClr val="000000"/>
              </a:solidFill>
              <a:latin typeface="Calibri"/>
            </a:defRPr>
          </a:pPr>
          <a:endParaRPr lang="sr-Latn-RS"/>
        </a:p>
      </c:txPr>
    </c:legend>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hr-HR" sz="900" b="0" i="0" u="none" strike="noStrike" kern="1200" baseline="0">
          <a:solidFill>
            <a:srgbClr val="000000"/>
          </a:solidFill>
          <a:latin typeface="Calibri"/>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076B2-C7D1-40B5-9B8A-592ACC77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3592</Words>
  <Characters>20475</Characters>
  <Application>Microsoft Office Word</Application>
  <DocSecurity>0</DocSecurity>
  <Lines>170</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Godić</dc:creator>
  <cp:keywords/>
  <dc:description/>
  <cp:lastModifiedBy>Lučka Uprava Slavonski Brod</cp:lastModifiedBy>
  <cp:revision>15</cp:revision>
  <cp:lastPrinted>2024-03-15T07:41:00Z</cp:lastPrinted>
  <dcterms:created xsi:type="dcterms:W3CDTF">2024-03-14T14:08:00Z</dcterms:created>
  <dcterms:modified xsi:type="dcterms:W3CDTF">2024-03-19T11:16:00Z</dcterms:modified>
</cp:coreProperties>
</file>