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2409" w14:textId="195D2994" w:rsidR="006C21CD" w:rsidRPr="00407108" w:rsidRDefault="006C21CD" w:rsidP="000C7302">
      <w:pPr>
        <w:jc w:val="both"/>
        <w:rPr>
          <w:rFonts w:ascii="Times New Roman" w:hAnsi="Times New Roman" w:cs="Times New Roman"/>
          <w:b/>
          <w:sz w:val="24"/>
          <w:szCs w:val="24"/>
        </w:rPr>
      </w:pPr>
    </w:p>
    <w:p w14:paraId="467FF85D" w14:textId="77777777" w:rsidR="006D0F5D" w:rsidRPr="00407108" w:rsidRDefault="006D0F5D" w:rsidP="004E2FF3">
      <w:pPr>
        <w:jc w:val="both"/>
        <w:rPr>
          <w:rFonts w:ascii="Times New Roman" w:hAnsi="Times New Roman" w:cs="Times New Roman"/>
          <w:b/>
          <w:bCs/>
          <w:sz w:val="24"/>
          <w:szCs w:val="24"/>
        </w:rPr>
      </w:pPr>
    </w:p>
    <w:p w14:paraId="0E9E1CE2" w14:textId="3699D4A8" w:rsidR="004E2FF3" w:rsidRPr="00407108" w:rsidRDefault="004E2FF3" w:rsidP="004E2FF3">
      <w:pPr>
        <w:jc w:val="both"/>
        <w:rPr>
          <w:rFonts w:ascii="Times New Roman" w:hAnsi="Times New Roman" w:cs="Times New Roman"/>
          <w:b/>
          <w:bCs/>
          <w:sz w:val="24"/>
          <w:szCs w:val="24"/>
        </w:rPr>
      </w:pPr>
      <w:r w:rsidRPr="00407108">
        <w:rPr>
          <w:rFonts w:ascii="Times New Roman" w:hAnsi="Times New Roman" w:cs="Times New Roman"/>
          <w:b/>
          <w:bCs/>
          <w:sz w:val="24"/>
          <w:szCs w:val="24"/>
        </w:rPr>
        <w:t>JAVNA USTANOVA LUČKA UPRAVA SLAVONSKI BROD</w:t>
      </w:r>
    </w:p>
    <w:p w14:paraId="62C6C272" w14:textId="77777777" w:rsidR="004E2FF3" w:rsidRPr="00407108" w:rsidRDefault="004E2FF3" w:rsidP="004E2FF3">
      <w:pPr>
        <w:jc w:val="both"/>
        <w:rPr>
          <w:rFonts w:ascii="Times New Roman" w:hAnsi="Times New Roman" w:cs="Times New Roman"/>
          <w:sz w:val="24"/>
          <w:szCs w:val="24"/>
        </w:rPr>
      </w:pPr>
      <w:r w:rsidRPr="00407108">
        <w:rPr>
          <w:rFonts w:ascii="Times New Roman" w:hAnsi="Times New Roman" w:cs="Times New Roman"/>
          <w:sz w:val="24"/>
          <w:szCs w:val="24"/>
        </w:rPr>
        <w:t>Šetalište braće Radić 19a</w:t>
      </w:r>
    </w:p>
    <w:p w14:paraId="7E1E8007" w14:textId="77777777" w:rsidR="004E2FF3" w:rsidRPr="00407108" w:rsidRDefault="004E2FF3" w:rsidP="004E2FF3">
      <w:pPr>
        <w:jc w:val="both"/>
        <w:rPr>
          <w:rFonts w:ascii="Times New Roman" w:hAnsi="Times New Roman" w:cs="Times New Roman"/>
          <w:sz w:val="24"/>
          <w:szCs w:val="24"/>
        </w:rPr>
      </w:pPr>
      <w:r w:rsidRPr="00407108">
        <w:rPr>
          <w:rFonts w:ascii="Times New Roman" w:hAnsi="Times New Roman" w:cs="Times New Roman"/>
          <w:sz w:val="24"/>
          <w:szCs w:val="24"/>
        </w:rPr>
        <w:t>35000 Slavonski Brod</w:t>
      </w:r>
    </w:p>
    <w:p w14:paraId="73228CF8" w14:textId="77777777" w:rsidR="004E2FF3" w:rsidRPr="00407108" w:rsidRDefault="004E2FF3" w:rsidP="004E2FF3">
      <w:pPr>
        <w:jc w:val="both"/>
        <w:rPr>
          <w:rFonts w:ascii="Times New Roman" w:hAnsi="Times New Roman" w:cs="Times New Roman"/>
          <w:sz w:val="24"/>
          <w:szCs w:val="24"/>
        </w:rPr>
      </w:pPr>
      <w:r w:rsidRPr="00407108">
        <w:rPr>
          <w:rFonts w:ascii="Times New Roman" w:hAnsi="Times New Roman" w:cs="Times New Roman"/>
          <w:sz w:val="24"/>
          <w:szCs w:val="24"/>
        </w:rPr>
        <w:t>OIB 14562482156</w:t>
      </w:r>
    </w:p>
    <w:p w14:paraId="0F86ECD3" w14:textId="77777777" w:rsidR="004E2FF3" w:rsidRPr="00407108" w:rsidRDefault="004E2FF3" w:rsidP="004E2FF3">
      <w:pPr>
        <w:jc w:val="both"/>
        <w:rPr>
          <w:rFonts w:ascii="Times New Roman" w:hAnsi="Times New Roman" w:cs="Times New Roman"/>
          <w:sz w:val="24"/>
          <w:szCs w:val="24"/>
        </w:rPr>
      </w:pPr>
      <w:r w:rsidRPr="00407108">
        <w:rPr>
          <w:rFonts w:ascii="Times New Roman" w:hAnsi="Times New Roman" w:cs="Times New Roman"/>
          <w:sz w:val="24"/>
          <w:szCs w:val="24"/>
        </w:rPr>
        <w:t>RKP: 51263</w:t>
      </w:r>
    </w:p>
    <w:p w14:paraId="6659E1B1" w14:textId="2E42B306" w:rsidR="006C21CD" w:rsidRPr="00407108" w:rsidRDefault="006C21CD" w:rsidP="000C7302">
      <w:pPr>
        <w:jc w:val="both"/>
        <w:rPr>
          <w:rFonts w:ascii="Times New Roman" w:hAnsi="Times New Roman" w:cs="Times New Roman"/>
          <w:b/>
          <w:sz w:val="24"/>
          <w:szCs w:val="24"/>
        </w:rPr>
      </w:pPr>
      <w:r w:rsidRPr="00407108">
        <w:rPr>
          <w:rFonts w:ascii="Times New Roman" w:hAnsi="Times New Roman" w:cs="Times New Roman"/>
          <w:b/>
          <w:sz w:val="24"/>
          <w:szCs w:val="24"/>
        </w:rPr>
        <w:t>RV-2</w:t>
      </w:r>
      <w:r w:rsidR="00D838F2" w:rsidRPr="00407108">
        <w:rPr>
          <w:rFonts w:ascii="Times New Roman" w:hAnsi="Times New Roman" w:cs="Times New Roman"/>
          <w:b/>
          <w:sz w:val="24"/>
          <w:szCs w:val="24"/>
        </w:rPr>
        <w:t>5</w:t>
      </w:r>
      <w:r w:rsidRPr="00407108">
        <w:rPr>
          <w:rFonts w:ascii="Times New Roman" w:hAnsi="Times New Roman" w:cs="Times New Roman"/>
          <w:b/>
          <w:sz w:val="24"/>
          <w:szCs w:val="24"/>
        </w:rPr>
        <w:t>-0</w:t>
      </w:r>
      <w:r w:rsidR="00402CF5" w:rsidRPr="00407108">
        <w:rPr>
          <w:rFonts w:ascii="Times New Roman" w:hAnsi="Times New Roman" w:cs="Times New Roman"/>
          <w:b/>
          <w:sz w:val="24"/>
          <w:szCs w:val="24"/>
        </w:rPr>
        <w:t>2</w:t>
      </w:r>
      <w:r w:rsidRPr="00407108">
        <w:rPr>
          <w:rFonts w:ascii="Times New Roman" w:hAnsi="Times New Roman" w:cs="Times New Roman"/>
          <w:b/>
          <w:sz w:val="24"/>
          <w:szCs w:val="24"/>
        </w:rPr>
        <w:t>/</w:t>
      </w:r>
      <w:r w:rsidR="00A97D7B">
        <w:rPr>
          <w:rFonts w:ascii="Times New Roman" w:hAnsi="Times New Roman" w:cs="Times New Roman"/>
          <w:b/>
          <w:sz w:val="24"/>
          <w:szCs w:val="24"/>
        </w:rPr>
        <w:t>52</w:t>
      </w:r>
    </w:p>
    <w:p w14:paraId="213432F2" w14:textId="77777777" w:rsidR="006C21CD" w:rsidRPr="00407108" w:rsidRDefault="006C21CD" w:rsidP="000C7302">
      <w:pPr>
        <w:jc w:val="both"/>
        <w:rPr>
          <w:rFonts w:ascii="Times New Roman" w:hAnsi="Times New Roman" w:cs="Times New Roman"/>
          <w:b/>
          <w:sz w:val="24"/>
          <w:szCs w:val="24"/>
        </w:rPr>
      </w:pPr>
    </w:p>
    <w:p w14:paraId="6A933A1D" w14:textId="77777777" w:rsidR="006C21CD" w:rsidRPr="00407108" w:rsidRDefault="006C21CD" w:rsidP="000C7302">
      <w:pPr>
        <w:jc w:val="both"/>
        <w:rPr>
          <w:rFonts w:ascii="Times New Roman" w:hAnsi="Times New Roman" w:cs="Times New Roman"/>
          <w:b/>
          <w:sz w:val="24"/>
          <w:szCs w:val="24"/>
        </w:rPr>
      </w:pPr>
    </w:p>
    <w:p w14:paraId="2D296053" w14:textId="77777777" w:rsidR="006C21CD" w:rsidRPr="00407108" w:rsidRDefault="006C21CD" w:rsidP="000C7302">
      <w:pPr>
        <w:jc w:val="both"/>
        <w:rPr>
          <w:rFonts w:ascii="Times New Roman" w:hAnsi="Times New Roman" w:cs="Times New Roman"/>
          <w:b/>
          <w:sz w:val="24"/>
          <w:szCs w:val="24"/>
        </w:rPr>
      </w:pPr>
    </w:p>
    <w:p w14:paraId="1E0CDA83" w14:textId="77777777" w:rsidR="00727DA5" w:rsidRPr="00407108" w:rsidRDefault="00727DA5" w:rsidP="000C7302">
      <w:pPr>
        <w:jc w:val="both"/>
        <w:rPr>
          <w:rFonts w:ascii="Times New Roman" w:hAnsi="Times New Roman" w:cs="Times New Roman"/>
          <w:b/>
          <w:sz w:val="24"/>
          <w:szCs w:val="24"/>
        </w:rPr>
      </w:pPr>
    </w:p>
    <w:p w14:paraId="2761184F" w14:textId="77777777" w:rsidR="006C21CD" w:rsidRPr="00407108" w:rsidRDefault="006C21CD" w:rsidP="000C7302">
      <w:pPr>
        <w:jc w:val="both"/>
        <w:rPr>
          <w:rFonts w:ascii="Times New Roman" w:hAnsi="Times New Roman" w:cs="Times New Roman"/>
          <w:b/>
          <w:sz w:val="24"/>
          <w:szCs w:val="24"/>
        </w:rPr>
      </w:pPr>
    </w:p>
    <w:p w14:paraId="1EB76D1C" w14:textId="3667DEA1" w:rsidR="006C21CD" w:rsidRPr="00407108" w:rsidRDefault="006C21CD" w:rsidP="000C7302">
      <w:pPr>
        <w:jc w:val="both"/>
        <w:rPr>
          <w:rFonts w:ascii="Times New Roman" w:hAnsi="Times New Roman" w:cs="Times New Roman"/>
          <w:b/>
          <w:sz w:val="24"/>
          <w:szCs w:val="24"/>
        </w:rPr>
      </w:pPr>
      <w:r w:rsidRPr="00407108">
        <w:rPr>
          <w:rFonts w:ascii="Times New Roman" w:hAnsi="Times New Roman" w:cs="Times New Roman"/>
          <w:b/>
          <w:sz w:val="24"/>
          <w:szCs w:val="24"/>
        </w:rPr>
        <w:t xml:space="preserve"> </w:t>
      </w:r>
    </w:p>
    <w:p w14:paraId="51063DFB" w14:textId="77777777" w:rsidR="006C21CD" w:rsidRPr="00407108" w:rsidRDefault="006C21CD" w:rsidP="000C7302">
      <w:pPr>
        <w:jc w:val="both"/>
        <w:rPr>
          <w:rFonts w:ascii="Times New Roman" w:hAnsi="Times New Roman" w:cs="Times New Roman"/>
          <w:b/>
          <w:sz w:val="24"/>
          <w:szCs w:val="24"/>
        </w:rPr>
      </w:pPr>
    </w:p>
    <w:p w14:paraId="7784AF4E" w14:textId="77777777" w:rsidR="006C21CD" w:rsidRPr="00407108" w:rsidRDefault="006C21CD" w:rsidP="000C7302">
      <w:pPr>
        <w:jc w:val="both"/>
        <w:rPr>
          <w:rFonts w:ascii="Times New Roman" w:hAnsi="Times New Roman" w:cs="Times New Roman"/>
          <w:b/>
          <w:sz w:val="24"/>
          <w:szCs w:val="24"/>
        </w:rPr>
      </w:pPr>
    </w:p>
    <w:p w14:paraId="51CB1D5A" w14:textId="2E9F8DB1" w:rsidR="00910EBA" w:rsidRPr="00407108" w:rsidRDefault="009E6B03" w:rsidP="003F6E61">
      <w:pPr>
        <w:jc w:val="center"/>
        <w:rPr>
          <w:rFonts w:ascii="Times New Roman" w:hAnsi="Times New Roman" w:cs="Times New Roman"/>
          <w:b/>
          <w:sz w:val="28"/>
          <w:szCs w:val="28"/>
        </w:rPr>
      </w:pPr>
      <w:r w:rsidRPr="00407108">
        <w:rPr>
          <w:rFonts w:ascii="Times New Roman" w:hAnsi="Times New Roman" w:cs="Times New Roman"/>
          <w:b/>
          <w:sz w:val="28"/>
          <w:szCs w:val="28"/>
        </w:rPr>
        <w:t xml:space="preserve">GODIŠNJI </w:t>
      </w:r>
      <w:r w:rsidR="00E87299" w:rsidRPr="00407108">
        <w:rPr>
          <w:rFonts w:ascii="Times New Roman" w:hAnsi="Times New Roman" w:cs="Times New Roman"/>
          <w:b/>
          <w:sz w:val="28"/>
          <w:szCs w:val="28"/>
        </w:rPr>
        <w:t>IZVJEŠTAJ O IZVRŠENJU</w:t>
      </w:r>
      <w:r w:rsidRPr="00407108">
        <w:rPr>
          <w:rFonts w:ascii="Times New Roman" w:hAnsi="Times New Roman" w:cs="Times New Roman"/>
          <w:b/>
          <w:sz w:val="28"/>
          <w:szCs w:val="28"/>
        </w:rPr>
        <w:t xml:space="preserve"> </w:t>
      </w:r>
      <w:r w:rsidR="006C21CD" w:rsidRPr="00407108">
        <w:rPr>
          <w:rFonts w:ascii="Times New Roman" w:hAnsi="Times New Roman" w:cs="Times New Roman"/>
          <w:b/>
          <w:sz w:val="28"/>
          <w:szCs w:val="28"/>
        </w:rPr>
        <w:t>FINANCIJSK</w:t>
      </w:r>
      <w:r w:rsidR="00E87299" w:rsidRPr="00407108">
        <w:rPr>
          <w:rFonts w:ascii="Times New Roman" w:hAnsi="Times New Roman" w:cs="Times New Roman"/>
          <w:b/>
          <w:sz w:val="28"/>
          <w:szCs w:val="28"/>
        </w:rPr>
        <w:t>OG</w:t>
      </w:r>
      <w:r w:rsidR="006C21CD" w:rsidRPr="00407108">
        <w:rPr>
          <w:rFonts w:ascii="Times New Roman" w:hAnsi="Times New Roman" w:cs="Times New Roman"/>
          <w:b/>
          <w:sz w:val="28"/>
          <w:szCs w:val="28"/>
        </w:rPr>
        <w:t xml:space="preserve"> PLAN</w:t>
      </w:r>
      <w:r w:rsidR="00E87299" w:rsidRPr="00407108">
        <w:rPr>
          <w:rFonts w:ascii="Times New Roman" w:hAnsi="Times New Roman" w:cs="Times New Roman"/>
          <w:b/>
          <w:sz w:val="28"/>
          <w:szCs w:val="28"/>
        </w:rPr>
        <w:t>A</w:t>
      </w:r>
      <w:r w:rsidR="006C21CD" w:rsidRPr="00407108">
        <w:rPr>
          <w:rFonts w:ascii="Times New Roman" w:hAnsi="Times New Roman" w:cs="Times New Roman"/>
          <w:b/>
          <w:sz w:val="28"/>
          <w:szCs w:val="28"/>
        </w:rPr>
        <w:t xml:space="preserve"> </w:t>
      </w:r>
    </w:p>
    <w:p w14:paraId="61AFE674" w14:textId="77777777" w:rsidR="00727DA5" w:rsidRPr="00407108" w:rsidRDefault="00910EBA" w:rsidP="00727DA5">
      <w:pPr>
        <w:jc w:val="center"/>
        <w:rPr>
          <w:rFonts w:ascii="Times New Roman" w:hAnsi="Times New Roman" w:cs="Times New Roman"/>
          <w:b/>
          <w:sz w:val="28"/>
          <w:szCs w:val="28"/>
        </w:rPr>
      </w:pPr>
      <w:r w:rsidRPr="00407108">
        <w:rPr>
          <w:rFonts w:ascii="Times New Roman" w:hAnsi="Times New Roman" w:cs="Times New Roman"/>
          <w:b/>
          <w:sz w:val="28"/>
          <w:szCs w:val="28"/>
        </w:rPr>
        <w:t xml:space="preserve">JAVNE USTANOVE </w:t>
      </w:r>
      <w:r w:rsidR="006C21CD" w:rsidRPr="00407108">
        <w:rPr>
          <w:rFonts w:ascii="Times New Roman" w:hAnsi="Times New Roman" w:cs="Times New Roman"/>
          <w:b/>
          <w:sz w:val="28"/>
          <w:szCs w:val="28"/>
        </w:rPr>
        <w:t>LUČKE UPRAVE</w:t>
      </w:r>
      <w:r w:rsidRPr="00407108">
        <w:rPr>
          <w:rFonts w:ascii="Times New Roman" w:hAnsi="Times New Roman" w:cs="Times New Roman"/>
          <w:b/>
          <w:sz w:val="28"/>
          <w:szCs w:val="28"/>
        </w:rPr>
        <w:t xml:space="preserve"> </w:t>
      </w:r>
      <w:r w:rsidR="006C21CD" w:rsidRPr="00407108">
        <w:rPr>
          <w:rFonts w:ascii="Times New Roman" w:hAnsi="Times New Roman" w:cs="Times New Roman"/>
          <w:b/>
          <w:sz w:val="28"/>
          <w:szCs w:val="28"/>
        </w:rPr>
        <w:t>SLAVONSKI BROD</w:t>
      </w:r>
    </w:p>
    <w:p w14:paraId="79B1016D" w14:textId="2007C960" w:rsidR="006C21CD" w:rsidRPr="00407108" w:rsidRDefault="006C21CD" w:rsidP="00727DA5">
      <w:pPr>
        <w:jc w:val="center"/>
        <w:rPr>
          <w:rFonts w:ascii="Times New Roman" w:hAnsi="Times New Roman" w:cs="Times New Roman"/>
          <w:b/>
          <w:sz w:val="28"/>
          <w:szCs w:val="28"/>
        </w:rPr>
      </w:pPr>
      <w:r w:rsidRPr="00407108">
        <w:rPr>
          <w:rFonts w:ascii="Times New Roman" w:hAnsi="Times New Roman" w:cs="Times New Roman"/>
          <w:b/>
          <w:sz w:val="28"/>
          <w:szCs w:val="28"/>
        </w:rPr>
        <w:t>ZA 202</w:t>
      </w:r>
      <w:r w:rsidR="00D838F2" w:rsidRPr="00407108">
        <w:rPr>
          <w:rFonts w:ascii="Times New Roman" w:hAnsi="Times New Roman" w:cs="Times New Roman"/>
          <w:b/>
          <w:sz w:val="28"/>
          <w:szCs w:val="28"/>
        </w:rPr>
        <w:t>4</w:t>
      </w:r>
      <w:r w:rsidRPr="00407108">
        <w:rPr>
          <w:rFonts w:ascii="Times New Roman" w:hAnsi="Times New Roman" w:cs="Times New Roman"/>
          <w:b/>
          <w:sz w:val="28"/>
          <w:szCs w:val="28"/>
        </w:rPr>
        <w:t>. GODIN</w:t>
      </w:r>
      <w:r w:rsidR="00176CAA" w:rsidRPr="00407108">
        <w:rPr>
          <w:rFonts w:ascii="Times New Roman" w:hAnsi="Times New Roman" w:cs="Times New Roman"/>
          <w:b/>
          <w:sz w:val="28"/>
          <w:szCs w:val="28"/>
        </w:rPr>
        <w:t>U</w:t>
      </w:r>
    </w:p>
    <w:p w14:paraId="4875D0CD" w14:textId="77777777" w:rsidR="006C21CD" w:rsidRPr="00407108" w:rsidRDefault="006C21CD" w:rsidP="000C7302">
      <w:pPr>
        <w:jc w:val="both"/>
        <w:rPr>
          <w:rFonts w:ascii="Times New Roman" w:hAnsi="Times New Roman" w:cs="Times New Roman"/>
          <w:b/>
          <w:sz w:val="24"/>
          <w:szCs w:val="24"/>
        </w:rPr>
      </w:pPr>
    </w:p>
    <w:p w14:paraId="6AD8339E" w14:textId="77777777" w:rsidR="006C21CD" w:rsidRPr="00407108" w:rsidRDefault="006C21CD" w:rsidP="000C7302">
      <w:pPr>
        <w:jc w:val="both"/>
        <w:rPr>
          <w:rFonts w:ascii="Times New Roman" w:hAnsi="Times New Roman" w:cs="Times New Roman"/>
          <w:b/>
          <w:sz w:val="24"/>
          <w:szCs w:val="24"/>
        </w:rPr>
      </w:pPr>
    </w:p>
    <w:p w14:paraId="03412ADD" w14:textId="77777777" w:rsidR="006C21CD" w:rsidRPr="00407108" w:rsidRDefault="006C21CD" w:rsidP="000C7302">
      <w:pPr>
        <w:jc w:val="both"/>
        <w:rPr>
          <w:rFonts w:ascii="Times New Roman" w:hAnsi="Times New Roman" w:cs="Times New Roman"/>
          <w:b/>
          <w:sz w:val="24"/>
          <w:szCs w:val="24"/>
        </w:rPr>
      </w:pPr>
    </w:p>
    <w:p w14:paraId="76161A80" w14:textId="77777777" w:rsidR="006C21CD" w:rsidRPr="00407108" w:rsidRDefault="006C21CD" w:rsidP="000C7302">
      <w:pPr>
        <w:jc w:val="both"/>
        <w:rPr>
          <w:rFonts w:ascii="Times New Roman" w:hAnsi="Times New Roman" w:cs="Times New Roman"/>
          <w:b/>
          <w:sz w:val="24"/>
          <w:szCs w:val="24"/>
        </w:rPr>
      </w:pPr>
    </w:p>
    <w:p w14:paraId="4903A5E0" w14:textId="77777777" w:rsidR="006C21CD" w:rsidRPr="00407108" w:rsidRDefault="006C21CD" w:rsidP="000C7302">
      <w:pPr>
        <w:jc w:val="both"/>
        <w:rPr>
          <w:rFonts w:ascii="Times New Roman" w:hAnsi="Times New Roman" w:cs="Times New Roman"/>
          <w:b/>
          <w:sz w:val="24"/>
          <w:szCs w:val="24"/>
        </w:rPr>
      </w:pPr>
    </w:p>
    <w:p w14:paraId="7E0E80D2" w14:textId="77777777" w:rsidR="006C21CD" w:rsidRPr="00407108" w:rsidRDefault="006C21CD" w:rsidP="000C7302">
      <w:pPr>
        <w:jc w:val="both"/>
        <w:rPr>
          <w:rFonts w:ascii="Times New Roman" w:hAnsi="Times New Roman" w:cs="Times New Roman"/>
          <w:b/>
          <w:sz w:val="24"/>
          <w:szCs w:val="24"/>
        </w:rPr>
      </w:pPr>
    </w:p>
    <w:p w14:paraId="0D71036F" w14:textId="77777777" w:rsidR="006C21CD" w:rsidRPr="00407108" w:rsidRDefault="006C21CD" w:rsidP="000C7302">
      <w:pPr>
        <w:jc w:val="both"/>
        <w:rPr>
          <w:rFonts w:ascii="Times New Roman" w:hAnsi="Times New Roman" w:cs="Times New Roman"/>
          <w:b/>
          <w:sz w:val="24"/>
          <w:szCs w:val="24"/>
        </w:rPr>
      </w:pPr>
    </w:p>
    <w:p w14:paraId="439D78A4" w14:textId="77777777" w:rsidR="006C21CD" w:rsidRPr="00407108" w:rsidRDefault="006C21CD" w:rsidP="000C7302">
      <w:pPr>
        <w:jc w:val="both"/>
        <w:rPr>
          <w:rFonts w:ascii="Times New Roman" w:hAnsi="Times New Roman" w:cs="Times New Roman"/>
          <w:b/>
          <w:sz w:val="24"/>
          <w:szCs w:val="24"/>
        </w:rPr>
      </w:pPr>
    </w:p>
    <w:p w14:paraId="7D13AD3E" w14:textId="77777777" w:rsidR="00727DA5" w:rsidRPr="00407108" w:rsidRDefault="00727DA5" w:rsidP="000C7302">
      <w:pPr>
        <w:jc w:val="both"/>
        <w:rPr>
          <w:rFonts w:ascii="Times New Roman" w:hAnsi="Times New Roman" w:cs="Times New Roman"/>
          <w:b/>
          <w:sz w:val="24"/>
          <w:szCs w:val="24"/>
        </w:rPr>
      </w:pPr>
    </w:p>
    <w:p w14:paraId="0B29F1B7" w14:textId="77777777" w:rsidR="006C21CD" w:rsidRPr="00407108" w:rsidRDefault="006C21CD" w:rsidP="000C7302">
      <w:pPr>
        <w:jc w:val="both"/>
        <w:rPr>
          <w:rFonts w:ascii="Times New Roman" w:hAnsi="Times New Roman" w:cs="Times New Roman"/>
          <w:b/>
          <w:sz w:val="24"/>
          <w:szCs w:val="24"/>
        </w:rPr>
      </w:pPr>
    </w:p>
    <w:p w14:paraId="41738615" w14:textId="1716787F" w:rsidR="006C21CD" w:rsidRPr="00407108" w:rsidRDefault="006C21CD" w:rsidP="003F6E61">
      <w:pPr>
        <w:jc w:val="center"/>
        <w:rPr>
          <w:rFonts w:ascii="Times New Roman" w:hAnsi="Times New Roman" w:cs="Times New Roman"/>
          <w:bCs/>
          <w:sz w:val="24"/>
          <w:szCs w:val="24"/>
        </w:rPr>
      </w:pPr>
      <w:r w:rsidRPr="00407108">
        <w:rPr>
          <w:rFonts w:ascii="Times New Roman" w:hAnsi="Times New Roman" w:cs="Times New Roman"/>
          <w:bCs/>
          <w:sz w:val="24"/>
          <w:szCs w:val="24"/>
        </w:rPr>
        <w:t xml:space="preserve">Slavonski Brod, </w:t>
      </w:r>
      <w:r w:rsidR="00D838F2" w:rsidRPr="00407108">
        <w:rPr>
          <w:rFonts w:ascii="Times New Roman" w:hAnsi="Times New Roman" w:cs="Times New Roman"/>
          <w:bCs/>
          <w:sz w:val="24"/>
          <w:szCs w:val="24"/>
        </w:rPr>
        <w:t>25</w:t>
      </w:r>
      <w:r w:rsidR="007035C4" w:rsidRPr="00407108">
        <w:rPr>
          <w:rFonts w:ascii="Times New Roman" w:hAnsi="Times New Roman" w:cs="Times New Roman"/>
          <w:bCs/>
          <w:sz w:val="24"/>
          <w:szCs w:val="24"/>
        </w:rPr>
        <w:t>.0</w:t>
      </w:r>
      <w:r w:rsidR="00176CAA" w:rsidRPr="00407108">
        <w:rPr>
          <w:rFonts w:ascii="Times New Roman" w:hAnsi="Times New Roman" w:cs="Times New Roman"/>
          <w:bCs/>
          <w:sz w:val="24"/>
          <w:szCs w:val="24"/>
        </w:rPr>
        <w:t>3</w:t>
      </w:r>
      <w:r w:rsidR="007035C4" w:rsidRPr="00407108">
        <w:rPr>
          <w:rFonts w:ascii="Times New Roman" w:hAnsi="Times New Roman" w:cs="Times New Roman"/>
          <w:bCs/>
          <w:sz w:val="24"/>
          <w:szCs w:val="24"/>
        </w:rPr>
        <w:t>.</w:t>
      </w:r>
      <w:r w:rsidRPr="00407108">
        <w:rPr>
          <w:rFonts w:ascii="Times New Roman" w:hAnsi="Times New Roman" w:cs="Times New Roman"/>
          <w:bCs/>
          <w:sz w:val="24"/>
          <w:szCs w:val="24"/>
        </w:rPr>
        <w:t>202</w:t>
      </w:r>
      <w:r w:rsidR="00D838F2" w:rsidRPr="00407108">
        <w:rPr>
          <w:rFonts w:ascii="Times New Roman" w:hAnsi="Times New Roman" w:cs="Times New Roman"/>
          <w:bCs/>
          <w:sz w:val="24"/>
          <w:szCs w:val="24"/>
        </w:rPr>
        <w:t>5</w:t>
      </w:r>
      <w:r w:rsidRPr="00407108">
        <w:rPr>
          <w:rFonts w:ascii="Times New Roman" w:hAnsi="Times New Roman" w:cs="Times New Roman"/>
          <w:bCs/>
          <w:sz w:val="24"/>
          <w:szCs w:val="24"/>
        </w:rPr>
        <w:t>. godine</w:t>
      </w:r>
    </w:p>
    <w:p w14:paraId="77E360D5" w14:textId="77777777" w:rsidR="006C21CD" w:rsidRPr="00407108" w:rsidRDefault="006C21CD" w:rsidP="000C7302">
      <w:pPr>
        <w:jc w:val="both"/>
        <w:rPr>
          <w:rFonts w:ascii="Times New Roman" w:hAnsi="Times New Roman" w:cs="Times New Roman"/>
          <w:b/>
          <w:sz w:val="24"/>
          <w:szCs w:val="24"/>
        </w:rPr>
      </w:pPr>
    </w:p>
    <w:p w14:paraId="6906B780" w14:textId="77777777" w:rsidR="006C21CD" w:rsidRPr="00407108" w:rsidRDefault="006C21CD" w:rsidP="00C73022">
      <w:pPr>
        <w:pStyle w:val="Tijeloteksta"/>
        <w:rPr>
          <w:b/>
          <w:bCs/>
          <w:u w:val="single"/>
        </w:rPr>
      </w:pPr>
      <w:r w:rsidRPr="00407108">
        <w:rPr>
          <w:b/>
          <w:bCs/>
          <w:u w:val="single"/>
        </w:rPr>
        <w:t>SADRŽAJ:</w:t>
      </w:r>
    </w:p>
    <w:p w14:paraId="31D14460" w14:textId="77777777" w:rsidR="007403ED" w:rsidRPr="00407108" w:rsidRDefault="007403ED" w:rsidP="00C73022">
      <w:pPr>
        <w:pStyle w:val="Tijeloteksta"/>
        <w:rPr>
          <w:b/>
          <w:bCs/>
          <w:u w:val="single"/>
        </w:rPr>
      </w:pPr>
    </w:p>
    <w:sdt>
      <w:sdtPr>
        <w:rPr>
          <w:rFonts w:ascii="Times New Roman" w:eastAsiaTheme="minorHAnsi" w:hAnsi="Times New Roman" w:cs="Times New Roman"/>
          <w:color w:val="auto"/>
          <w:sz w:val="24"/>
          <w:szCs w:val="24"/>
          <w:lang w:eastAsia="en-US"/>
        </w:rPr>
        <w:id w:val="142629461"/>
        <w:docPartObj>
          <w:docPartGallery w:val="Table of Contents"/>
          <w:docPartUnique/>
        </w:docPartObj>
      </w:sdtPr>
      <w:sdtEndPr>
        <w:rPr>
          <w:b/>
          <w:bCs/>
        </w:rPr>
      </w:sdtEndPr>
      <w:sdtContent>
        <w:p w14:paraId="06720622" w14:textId="192964AD" w:rsidR="007403ED" w:rsidRPr="00407108" w:rsidRDefault="007403ED">
          <w:pPr>
            <w:pStyle w:val="TOCNaslov"/>
            <w:rPr>
              <w:rFonts w:ascii="Times New Roman" w:hAnsi="Times New Roman" w:cs="Times New Roman"/>
              <w:color w:val="auto"/>
              <w:sz w:val="22"/>
              <w:szCs w:val="22"/>
              <w:u w:val="single"/>
            </w:rPr>
          </w:pPr>
        </w:p>
        <w:p w14:paraId="2219700F" w14:textId="3F861962" w:rsidR="00407108" w:rsidRPr="00407108" w:rsidRDefault="007403ED">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r w:rsidRPr="00407108">
            <w:rPr>
              <w:rFonts w:ascii="Times New Roman" w:hAnsi="Times New Roman" w:cs="Times New Roman"/>
            </w:rPr>
            <w:fldChar w:fldCharType="begin"/>
          </w:r>
          <w:r w:rsidRPr="00407108">
            <w:rPr>
              <w:rFonts w:ascii="Times New Roman" w:hAnsi="Times New Roman" w:cs="Times New Roman"/>
            </w:rPr>
            <w:instrText xml:space="preserve"> TOC \o "1-3" \h \z \u </w:instrText>
          </w:r>
          <w:r w:rsidRPr="00407108">
            <w:rPr>
              <w:rFonts w:ascii="Times New Roman" w:hAnsi="Times New Roman" w:cs="Times New Roman"/>
            </w:rPr>
            <w:fldChar w:fldCharType="separate"/>
          </w:r>
          <w:hyperlink w:anchor="_Toc193796424" w:history="1">
            <w:r w:rsidR="00407108" w:rsidRPr="00407108">
              <w:rPr>
                <w:rStyle w:val="Hiperveza"/>
                <w:rFonts w:ascii="Times New Roman" w:hAnsi="Times New Roman" w:cs="Times New Roman"/>
                <w:noProof/>
                <w:lang w:bidi="en-GB"/>
              </w:rPr>
              <w:t>1. OPĆI DIO</w:t>
            </w:r>
            <w:r w:rsidR="00407108" w:rsidRPr="00407108">
              <w:rPr>
                <w:rFonts w:ascii="Times New Roman" w:hAnsi="Times New Roman" w:cs="Times New Roman"/>
                <w:noProof/>
                <w:webHidden/>
              </w:rPr>
              <w:tab/>
            </w:r>
            <w:r w:rsidR="00407108" w:rsidRPr="00407108">
              <w:rPr>
                <w:rFonts w:ascii="Times New Roman" w:hAnsi="Times New Roman" w:cs="Times New Roman"/>
                <w:noProof/>
                <w:webHidden/>
              </w:rPr>
              <w:fldChar w:fldCharType="begin"/>
            </w:r>
            <w:r w:rsidR="00407108" w:rsidRPr="00407108">
              <w:rPr>
                <w:rFonts w:ascii="Times New Roman" w:hAnsi="Times New Roman" w:cs="Times New Roman"/>
                <w:noProof/>
                <w:webHidden/>
              </w:rPr>
              <w:instrText xml:space="preserve"> PAGEREF _Toc193796424 \h </w:instrText>
            </w:r>
            <w:r w:rsidR="00407108" w:rsidRPr="00407108">
              <w:rPr>
                <w:rFonts w:ascii="Times New Roman" w:hAnsi="Times New Roman" w:cs="Times New Roman"/>
                <w:noProof/>
                <w:webHidden/>
              </w:rPr>
            </w:r>
            <w:r w:rsidR="00407108" w:rsidRPr="00407108">
              <w:rPr>
                <w:rFonts w:ascii="Times New Roman" w:hAnsi="Times New Roman" w:cs="Times New Roman"/>
                <w:noProof/>
                <w:webHidden/>
              </w:rPr>
              <w:fldChar w:fldCharType="separate"/>
            </w:r>
            <w:r w:rsidR="00407108" w:rsidRPr="00407108">
              <w:rPr>
                <w:rFonts w:ascii="Times New Roman" w:hAnsi="Times New Roman" w:cs="Times New Roman"/>
                <w:noProof/>
                <w:webHidden/>
              </w:rPr>
              <w:t>3</w:t>
            </w:r>
            <w:r w:rsidR="00407108" w:rsidRPr="00407108">
              <w:rPr>
                <w:rFonts w:ascii="Times New Roman" w:hAnsi="Times New Roman" w:cs="Times New Roman"/>
                <w:noProof/>
                <w:webHidden/>
              </w:rPr>
              <w:fldChar w:fldCharType="end"/>
            </w:r>
          </w:hyperlink>
        </w:p>
        <w:p w14:paraId="44ECC59E" w14:textId="487685C0"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25" w:history="1">
            <w:r w:rsidRPr="00407108">
              <w:rPr>
                <w:rStyle w:val="Hiperveza"/>
                <w:rFonts w:ascii="Times New Roman" w:hAnsi="Times New Roman" w:cs="Times New Roman"/>
                <w:noProof/>
                <w:lang w:bidi="en-GB"/>
              </w:rPr>
              <w:t>1.1.  SAŽETAK RAČUNA PRIHODA I RASHODA I RAČUNA FINANCIRANJA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_Toc193796425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3</w:t>
            </w:r>
            <w:r w:rsidRPr="00407108">
              <w:rPr>
                <w:rFonts w:ascii="Times New Roman" w:hAnsi="Times New Roman" w:cs="Times New Roman"/>
                <w:noProof/>
                <w:webHidden/>
              </w:rPr>
              <w:fldChar w:fldCharType="end"/>
            </w:r>
          </w:hyperlink>
        </w:p>
        <w:p w14:paraId="4A6613E4" w14:textId="4940A9D3"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26" w:history="1">
            <w:r w:rsidRPr="00407108">
              <w:rPr>
                <w:rStyle w:val="Hiperveza"/>
                <w:rFonts w:ascii="Times New Roman" w:hAnsi="Times New Roman" w:cs="Times New Roman"/>
                <w:noProof/>
                <w:lang w:bidi="en-GB"/>
              </w:rPr>
              <w:t>1.2. RAČUN PRIHODA I RASHODA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_Toc193796426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4</w:t>
            </w:r>
            <w:r w:rsidRPr="00407108">
              <w:rPr>
                <w:rFonts w:ascii="Times New Roman" w:hAnsi="Times New Roman" w:cs="Times New Roman"/>
                <w:noProof/>
                <w:webHidden/>
              </w:rPr>
              <w:fldChar w:fldCharType="end"/>
            </w:r>
          </w:hyperlink>
        </w:p>
        <w:p w14:paraId="4915F555" w14:textId="6E55BD46"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27" w:history="1">
            <w:r w:rsidRPr="00407108">
              <w:rPr>
                <w:rStyle w:val="Hiperveza"/>
                <w:rFonts w:ascii="Times New Roman" w:hAnsi="Times New Roman" w:cs="Times New Roman"/>
                <w:noProof/>
                <w:lang w:bidi="en-GB"/>
              </w:rPr>
              <w:t>1.2.1. Izvještaj o prihodima i rashodima prema ekonomskoj klasifikaciji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_Toc193796427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4</w:t>
            </w:r>
            <w:r w:rsidRPr="00407108">
              <w:rPr>
                <w:rFonts w:ascii="Times New Roman" w:hAnsi="Times New Roman" w:cs="Times New Roman"/>
                <w:noProof/>
                <w:webHidden/>
              </w:rPr>
              <w:fldChar w:fldCharType="end"/>
            </w:r>
          </w:hyperlink>
        </w:p>
        <w:p w14:paraId="6A71A01C" w14:textId="60A88013"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28" w:history="1">
            <w:r w:rsidRPr="00407108">
              <w:rPr>
                <w:rStyle w:val="Hiperveza"/>
                <w:rFonts w:ascii="Times New Roman" w:hAnsi="Times New Roman" w:cs="Times New Roman"/>
                <w:noProof/>
                <w:lang w:bidi="en-GB"/>
              </w:rPr>
              <w:t>1.2.2. Izvještaj o prihodima i rashodima prema izvorima financiranja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_Toc193796428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6</w:t>
            </w:r>
            <w:r w:rsidRPr="00407108">
              <w:rPr>
                <w:rFonts w:ascii="Times New Roman" w:hAnsi="Times New Roman" w:cs="Times New Roman"/>
                <w:noProof/>
                <w:webHidden/>
              </w:rPr>
              <w:fldChar w:fldCharType="end"/>
            </w:r>
          </w:hyperlink>
        </w:p>
        <w:p w14:paraId="24183108" w14:textId="141A5AE4"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29" w:history="1">
            <w:r w:rsidRPr="00407108">
              <w:rPr>
                <w:rStyle w:val="Hiperveza"/>
                <w:rFonts w:ascii="Times New Roman" w:hAnsi="Times New Roman" w:cs="Times New Roman"/>
                <w:noProof/>
                <w:lang w:bidi="en-GB"/>
              </w:rPr>
              <w:t>1.2.3. Izvještaj o rashodima prema funkcijskoj klasifikaciji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_Toc193796429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6</w:t>
            </w:r>
            <w:r w:rsidRPr="00407108">
              <w:rPr>
                <w:rFonts w:ascii="Times New Roman" w:hAnsi="Times New Roman" w:cs="Times New Roman"/>
                <w:noProof/>
                <w:webHidden/>
              </w:rPr>
              <w:fldChar w:fldCharType="end"/>
            </w:r>
          </w:hyperlink>
        </w:p>
        <w:p w14:paraId="4F1DD819" w14:textId="530AB3F2"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0" w:history="1">
            <w:r w:rsidRPr="00407108">
              <w:rPr>
                <w:rStyle w:val="Hiperveza"/>
                <w:rFonts w:ascii="Times New Roman" w:hAnsi="Times New Roman" w:cs="Times New Roman"/>
                <w:noProof/>
                <w:lang w:bidi="en-GB"/>
              </w:rPr>
              <w:t>1.3. RAČUN FINANCIRANJA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_Toc193796430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7</w:t>
            </w:r>
            <w:r w:rsidRPr="00407108">
              <w:rPr>
                <w:rFonts w:ascii="Times New Roman" w:hAnsi="Times New Roman" w:cs="Times New Roman"/>
                <w:noProof/>
                <w:webHidden/>
              </w:rPr>
              <w:fldChar w:fldCharType="end"/>
            </w:r>
          </w:hyperlink>
        </w:p>
        <w:p w14:paraId="46F808E7" w14:textId="704F4A14"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1" w:history="1">
            <w:r w:rsidRPr="00407108">
              <w:rPr>
                <w:rStyle w:val="Hiperveza"/>
                <w:rFonts w:ascii="Times New Roman" w:hAnsi="Times New Roman" w:cs="Times New Roman"/>
                <w:noProof/>
                <w:lang w:bidi="en-GB"/>
              </w:rPr>
              <w:t>1.3.1. Izvještaj računa financiranja prema ekonomskoj klasifikaciji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_Toc193796431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7</w:t>
            </w:r>
            <w:r w:rsidRPr="00407108">
              <w:rPr>
                <w:rFonts w:ascii="Times New Roman" w:hAnsi="Times New Roman" w:cs="Times New Roman"/>
                <w:noProof/>
                <w:webHidden/>
              </w:rPr>
              <w:fldChar w:fldCharType="end"/>
            </w:r>
          </w:hyperlink>
        </w:p>
        <w:p w14:paraId="347A6D3F" w14:textId="3DB9E99F"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2" w:history="1">
            <w:r w:rsidRPr="00407108">
              <w:rPr>
                <w:rStyle w:val="Hiperveza"/>
                <w:rFonts w:ascii="Times New Roman" w:hAnsi="Times New Roman" w:cs="Times New Roman"/>
                <w:noProof/>
                <w:lang w:bidi="en-GB"/>
              </w:rPr>
              <w:t>1.3.2. Izvještaj računa financiranja prema izvorima financiranja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_Toc193796432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7</w:t>
            </w:r>
            <w:r w:rsidRPr="00407108">
              <w:rPr>
                <w:rFonts w:ascii="Times New Roman" w:hAnsi="Times New Roman" w:cs="Times New Roman"/>
                <w:noProof/>
                <w:webHidden/>
              </w:rPr>
              <w:fldChar w:fldCharType="end"/>
            </w:r>
          </w:hyperlink>
        </w:p>
        <w:p w14:paraId="57BDCFDE" w14:textId="74F9F3F4"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3" w:history="1">
            <w:r w:rsidRPr="00407108">
              <w:rPr>
                <w:rStyle w:val="Hiperveza"/>
                <w:rFonts w:ascii="Times New Roman" w:eastAsia="Times New Roman" w:hAnsi="Times New Roman" w:cs="Times New Roman"/>
                <w:noProof/>
                <w:lang w:val="en-GB" w:eastAsia="en-GB" w:bidi="en-GB"/>
              </w:rPr>
              <w:t>2. OBRAZLOŽENJE OPĆEG DIJELA GODIŠNJEG IZVJEŠTAJA O IZVRŠENJU FINANCIJSKOG PLANA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_Toc193796433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8</w:t>
            </w:r>
            <w:r w:rsidRPr="00407108">
              <w:rPr>
                <w:rFonts w:ascii="Times New Roman" w:hAnsi="Times New Roman" w:cs="Times New Roman"/>
                <w:noProof/>
                <w:webHidden/>
              </w:rPr>
              <w:fldChar w:fldCharType="end"/>
            </w:r>
          </w:hyperlink>
        </w:p>
        <w:p w14:paraId="27DC6A84" w14:textId="06351FA2"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4" w:history="1">
            <w:r w:rsidRPr="00407108">
              <w:rPr>
                <w:rStyle w:val="Hiperveza"/>
                <w:rFonts w:ascii="Times New Roman" w:eastAsia="Times New Roman" w:hAnsi="Times New Roman" w:cs="Times New Roman"/>
                <w:noProof/>
                <w:lang w:val="en-GB" w:eastAsia="en-GB" w:bidi="en-GB"/>
              </w:rPr>
              <w:t>2.1. OBRAZLOŽENJE OSTVARENJA PRIHODA I RASHODA, PRIMITAKA I IZDATAKA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_Toc193796434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8</w:t>
            </w:r>
            <w:r w:rsidRPr="00407108">
              <w:rPr>
                <w:rFonts w:ascii="Times New Roman" w:hAnsi="Times New Roman" w:cs="Times New Roman"/>
                <w:noProof/>
                <w:webHidden/>
              </w:rPr>
              <w:fldChar w:fldCharType="end"/>
            </w:r>
          </w:hyperlink>
        </w:p>
        <w:p w14:paraId="4DEF0EE3" w14:textId="2FB214DE"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5" w:history="1">
            <w:r w:rsidRPr="00407108">
              <w:rPr>
                <w:rStyle w:val="Hiperveza"/>
                <w:rFonts w:ascii="Times New Roman" w:eastAsia="Times New Roman" w:hAnsi="Times New Roman" w:cs="Times New Roman"/>
                <w:noProof/>
                <w:lang w:val="en-GB" w:eastAsia="en-GB" w:bidi="en-GB"/>
              </w:rPr>
              <w:t>2.1.1. Prihodi i primici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_Toc193796435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8</w:t>
            </w:r>
            <w:r w:rsidRPr="00407108">
              <w:rPr>
                <w:rFonts w:ascii="Times New Roman" w:hAnsi="Times New Roman" w:cs="Times New Roman"/>
                <w:noProof/>
                <w:webHidden/>
              </w:rPr>
              <w:fldChar w:fldCharType="end"/>
            </w:r>
          </w:hyperlink>
        </w:p>
        <w:p w14:paraId="671AF87F" w14:textId="27D3AAA6"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6" w:history="1">
            <w:r w:rsidRPr="00407108">
              <w:rPr>
                <w:rStyle w:val="Hiperveza"/>
                <w:rFonts w:ascii="Times New Roman" w:eastAsia="Times New Roman" w:hAnsi="Times New Roman" w:cs="Times New Roman"/>
                <w:noProof/>
                <w:lang w:val="en-GB" w:eastAsia="en-GB" w:bidi="en-GB"/>
              </w:rPr>
              <w:t>2.1.2. Rashodi i izdaci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_Toc193796436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9</w:t>
            </w:r>
            <w:r w:rsidRPr="00407108">
              <w:rPr>
                <w:rFonts w:ascii="Times New Roman" w:hAnsi="Times New Roman" w:cs="Times New Roman"/>
                <w:noProof/>
                <w:webHidden/>
              </w:rPr>
              <w:fldChar w:fldCharType="end"/>
            </w:r>
          </w:hyperlink>
        </w:p>
        <w:p w14:paraId="10BC1EC5" w14:textId="6E60A847"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7" w:history="1">
            <w:r w:rsidRPr="00407108">
              <w:rPr>
                <w:rStyle w:val="Hiperveza"/>
                <w:rFonts w:ascii="Times New Roman" w:eastAsia="Times New Roman" w:hAnsi="Times New Roman" w:cs="Times New Roman"/>
                <w:noProof/>
                <w:lang w:val="en-GB" w:eastAsia="en-GB" w:bidi="en-GB"/>
              </w:rPr>
              <w:t>2.2. STANJE NOVČANIH SREDSTAVA NA RAČUNIMA NA POČETKU I NA KRAJU PRORAČUNSKE GODINE</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_Toc193796437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9</w:t>
            </w:r>
            <w:r w:rsidRPr="00407108">
              <w:rPr>
                <w:rFonts w:ascii="Times New Roman" w:hAnsi="Times New Roman" w:cs="Times New Roman"/>
                <w:noProof/>
                <w:webHidden/>
              </w:rPr>
              <w:fldChar w:fldCharType="end"/>
            </w:r>
          </w:hyperlink>
        </w:p>
        <w:p w14:paraId="1BF51DFF" w14:textId="5234EF67"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8" w:history="1">
            <w:r w:rsidRPr="00407108">
              <w:rPr>
                <w:rStyle w:val="Hiperveza"/>
                <w:rFonts w:ascii="Times New Roman" w:eastAsia="Times New Roman" w:hAnsi="Times New Roman" w:cs="Times New Roman"/>
                <w:noProof/>
                <w:lang w:val="en-GB" w:eastAsia="en-GB" w:bidi="en-GB"/>
              </w:rPr>
              <w:t>2.3. OBRAZLOŽENJE OSTVARENOG PRIJENOSA SREDSTAVA IZ PRETHODNE GODINE I PRIJENOSA SREDSTAVA U SLIJEDEĆE RAZDOBLJE</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_Toc193796438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10</w:t>
            </w:r>
            <w:r w:rsidRPr="00407108">
              <w:rPr>
                <w:rFonts w:ascii="Times New Roman" w:hAnsi="Times New Roman" w:cs="Times New Roman"/>
                <w:noProof/>
                <w:webHidden/>
              </w:rPr>
              <w:fldChar w:fldCharType="end"/>
            </w:r>
          </w:hyperlink>
        </w:p>
        <w:p w14:paraId="258C7C7B" w14:textId="173BCCE7"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39" w:history="1">
            <w:r w:rsidRPr="00407108">
              <w:rPr>
                <w:rStyle w:val="Hiperveza"/>
                <w:rFonts w:ascii="Times New Roman" w:hAnsi="Times New Roman" w:cs="Times New Roman"/>
                <w:noProof/>
                <w:lang w:bidi="en-GB"/>
              </w:rPr>
              <w:t>3. POSEBNI DIO</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_Toc193796439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11</w:t>
            </w:r>
            <w:r w:rsidRPr="00407108">
              <w:rPr>
                <w:rFonts w:ascii="Times New Roman" w:hAnsi="Times New Roman" w:cs="Times New Roman"/>
                <w:noProof/>
                <w:webHidden/>
              </w:rPr>
              <w:fldChar w:fldCharType="end"/>
            </w:r>
          </w:hyperlink>
        </w:p>
        <w:p w14:paraId="1990410B" w14:textId="1ACD1740"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0" w:history="1">
            <w:r w:rsidRPr="00407108">
              <w:rPr>
                <w:rStyle w:val="Hiperveza"/>
                <w:rFonts w:ascii="Times New Roman" w:hAnsi="Times New Roman" w:cs="Times New Roman"/>
                <w:noProof/>
                <w:lang w:bidi="en-GB"/>
              </w:rPr>
              <w:t>3.1. IZVJEŠTAJ PO PROGRAMSKOJ KLASIFIKACIJI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_Toc193796440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11</w:t>
            </w:r>
            <w:r w:rsidRPr="00407108">
              <w:rPr>
                <w:rFonts w:ascii="Times New Roman" w:hAnsi="Times New Roman" w:cs="Times New Roman"/>
                <w:noProof/>
                <w:webHidden/>
              </w:rPr>
              <w:fldChar w:fldCharType="end"/>
            </w:r>
          </w:hyperlink>
        </w:p>
        <w:p w14:paraId="4E1C0BFA" w14:textId="62D1B91D"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1" w:history="1">
            <w:r w:rsidRPr="00407108">
              <w:rPr>
                <w:rStyle w:val="Hiperveza"/>
                <w:rFonts w:ascii="Times New Roman" w:hAnsi="Times New Roman" w:cs="Times New Roman"/>
                <w:noProof/>
                <w:lang w:bidi="en-GB"/>
              </w:rPr>
              <w:t>3.2. OBRAZLOŽENJE POSEBNOG DIJELA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_Toc193796441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14</w:t>
            </w:r>
            <w:r w:rsidRPr="00407108">
              <w:rPr>
                <w:rFonts w:ascii="Times New Roman" w:hAnsi="Times New Roman" w:cs="Times New Roman"/>
                <w:noProof/>
                <w:webHidden/>
              </w:rPr>
              <w:fldChar w:fldCharType="end"/>
            </w:r>
          </w:hyperlink>
        </w:p>
        <w:p w14:paraId="7744A962" w14:textId="75C868B6"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5" w:history="1">
            <w:r w:rsidRPr="00407108">
              <w:rPr>
                <w:rStyle w:val="Hiperveza"/>
                <w:rFonts w:ascii="Times New Roman" w:eastAsia="Times New Roman" w:hAnsi="Times New Roman" w:cs="Times New Roman"/>
                <w:noProof/>
                <w:lang w:val="en-GB" w:eastAsia="en-GB" w:bidi="en-GB"/>
              </w:rPr>
              <w:t>4. POSEBNI I</w:t>
            </w:r>
            <w:r w:rsidRPr="00407108">
              <w:rPr>
                <w:rStyle w:val="Hiperveza"/>
                <w:rFonts w:ascii="Times New Roman" w:eastAsia="Times New Roman" w:hAnsi="Times New Roman" w:cs="Times New Roman"/>
                <w:noProof/>
                <w:lang w:val="en-GB" w:eastAsia="en-GB" w:bidi="en-GB"/>
              </w:rPr>
              <w:t>Z</w:t>
            </w:r>
            <w:r w:rsidRPr="00407108">
              <w:rPr>
                <w:rStyle w:val="Hiperveza"/>
                <w:rFonts w:ascii="Times New Roman" w:eastAsia="Times New Roman" w:hAnsi="Times New Roman" w:cs="Times New Roman"/>
                <w:noProof/>
                <w:lang w:val="en-GB" w:eastAsia="en-GB" w:bidi="en-GB"/>
              </w:rPr>
              <w:t>VJEŠTAJI</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_Toc193796445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23</w:t>
            </w:r>
            <w:r w:rsidRPr="00407108">
              <w:rPr>
                <w:rFonts w:ascii="Times New Roman" w:hAnsi="Times New Roman" w:cs="Times New Roman"/>
                <w:noProof/>
                <w:webHidden/>
              </w:rPr>
              <w:fldChar w:fldCharType="end"/>
            </w:r>
          </w:hyperlink>
        </w:p>
        <w:p w14:paraId="2023012D" w14:textId="770A1685"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6" w:history="1">
            <w:r w:rsidRPr="00407108">
              <w:rPr>
                <w:rStyle w:val="Hiperveza"/>
                <w:rFonts w:ascii="Times New Roman" w:eastAsia="Times New Roman" w:hAnsi="Times New Roman" w:cs="Times New Roman"/>
                <w:noProof/>
                <w:lang w:val="en-GB" w:eastAsia="en-GB" w:bidi="en-GB"/>
              </w:rPr>
              <w:t>4.1. IZVJEŠTAJ O ZADUŽIVANJU NA DOMAĆEM I STRANOM TRŽIŠTU NOVCA I KAPITALA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_Toc193796446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23</w:t>
            </w:r>
            <w:r w:rsidRPr="00407108">
              <w:rPr>
                <w:rFonts w:ascii="Times New Roman" w:hAnsi="Times New Roman" w:cs="Times New Roman"/>
                <w:noProof/>
                <w:webHidden/>
              </w:rPr>
              <w:fldChar w:fldCharType="end"/>
            </w:r>
          </w:hyperlink>
        </w:p>
        <w:p w14:paraId="79F0D676" w14:textId="2BF6631A"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7" w:history="1">
            <w:r w:rsidRPr="00407108">
              <w:rPr>
                <w:rStyle w:val="Hiperveza"/>
                <w:rFonts w:ascii="Times New Roman" w:eastAsia="Times New Roman" w:hAnsi="Times New Roman" w:cs="Times New Roman"/>
                <w:noProof/>
                <w:lang w:val="en-GB" w:eastAsia="en-GB" w:bidi="en-GB"/>
              </w:rPr>
              <w:t>4.2. IZVJEŠTAJ O KORIŠTENJU SREDSTAVA FONDOVA EUROPSKE UNIJE</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_Toc193796447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24</w:t>
            </w:r>
            <w:r w:rsidRPr="00407108">
              <w:rPr>
                <w:rFonts w:ascii="Times New Roman" w:hAnsi="Times New Roman" w:cs="Times New Roman"/>
                <w:noProof/>
                <w:webHidden/>
              </w:rPr>
              <w:fldChar w:fldCharType="end"/>
            </w:r>
          </w:hyperlink>
        </w:p>
        <w:p w14:paraId="27607923" w14:textId="3479870C"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8" w:history="1">
            <w:r w:rsidRPr="00407108">
              <w:rPr>
                <w:rStyle w:val="Hiperveza"/>
                <w:rFonts w:ascii="Times New Roman" w:eastAsia="Times New Roman" w:hAnsi="Times New Roman" w:cs="Times New Roman"/>
                <w:noProof/>
                <w:lang w:val="en-GB" w:eastAsia="en-GB" w:bidi="en-GB"/>
              </w:rPr>
              <w:t>4.3. IZVJEŠTAJ O DANIM ZAJMOVIMA I POTRAŽIVANJIMA PO DANIM ZAJMOVIMA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_Toc193796448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24</w:t>
            </w:r>
            <w:r w:rsidRPr="00407108">
              <w:rPr>
                <w:rFonts w:ascii="Times New Roman" w:hAnsi="Times New Roman" w:cs="Times New Roman"/>
                <w:noProof/>
                <w:webHidden/>
              </w:rPr>
              <w:fldChar w:fldCharType="end"/>
            </w:r>
          </w:hyperlink>
        </w:p>
        <w:p w14:paraId="3B13E864" w14:textId="3F4C3848"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49" w:history="1">
            <w:r w:rsidRPr="00407108">
              <w:rPr>
                <w:rStyle w:val="Hiperveza"/>
                <w:rFonts w:ascii="Times New Roman" w:eastAsia="Times New Roman" w:hAnsi="Times New Roman" w:cs="Times New Roman"/>
                <w:noProof/>
                <w:lang w:val="en-GB" w:eastAsia="en-GB" w:bidi="en-GB"/>
              </w:rPr>
              <w:t>4.4. IZVJEŠTAJ O STANJU POTRAŽIVANJA I DOSPJELIH OBVEZA TE O STANJU POTENCIJALNIH OBVEZA PO OSNOVI SUDSKIH SPOROVA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_Toc193796449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24</w:t>
            </w:r>
            <w:r w:rsidRPr="00407108">
              <w:rPr>
                <w:rFonts w:ascii="Times New Roman" w:hAnsi="Times New Roman" w:cs="Times New Roman"/>
                <w:noProof/>
                <w:webHidden/>
              </w:rPr>
              <w:fldChar w:fldCharType="end"/>
            </w:r>
          </w:hyperlink>
        </w:p>
        <w:p w14:paraId="05C71268" w14:textId="3248788C" w:rsidR="00407108" w:rsidRPr="00407108" w:rsidRDefault="00407108">
          <w:pPr>
            <w:pStyle w:val="Sadraj1"/>
            <w:tabs>
              <w:tab w:val="right" w:leader="dot" w:pos="9062"/>
            </w:tabs>
            <w:rPr>
              <w:rFonts w:ascii="Times New Roman" w:eastAsiaTheme="minorEastAsia" w:hAnsi="Times New Roman" w:cs="Times New Roman"/>
              <w:noProof/>
              <w:kern w:val="2"/>
              <w:sz w:val="24"/>
              <w:szCs w:val="24"/>
              <w:lang w:eastAsia="hr-HR"/>
              <w14:ligatures w14:val="standardContextual"/>
            </w:rPr>
          </w:pPr>
          <w:hyperlink w:anchor="_Toc193796450" w:history="1">
            <w:r w:rsidRPr="00407108">
              <w:rPr>
                <w:rStyle w:val="Hiperveza"/>
                <w:rFonts w:ascii="Times New Roman" w:eastAsia="Times New Roman" w:hAnsi="Times New Roman" w:cs="Times New Roman"/>
                <w:noProof/>
                <w:lang w:val="en-GB" w:eastAsia="en-GB" w:bidi="en-GB"/>
              </w:rPr>
              <w:t>4.5. IZVJEŠTAJ O DANIM JAMSTVIMA I PLAĆANJIMA PO PROTESTIRANIM JAMSTVIMA</w:t>
            </w:r>
            <w:r w:rsidRPr="00407108">
              <w:rPr>
                <w:rFonts w:ascii="Times New Roman" w:hAnsi="Times New Roman" w:cs="Times New Roman"/>
                <w:noProof/>
                <w:webHidden/>
              </w:rPr>
              <w:tab/>
            </w:r>
            <w:r w:rsidRPr="00407108">
              <w:rPr>
                <w:rFonts w:ascii="Times New Roman" w:hAnsi="Times New Roman" w:cs="Times New Roman"/>
                <w:noProof/>
                <w:webHidden/>
              </w:rPr>
              <w:fldChar w:fldCharType="begin"/>
            </w:r>
            <w:r w:rsidRPr="00407108">
              <w:rPr>
                <w:rFonts w:ascii="Times New Roman" w:hAnsi="Times New Roman" w:cs="Times New Roman"/>
                <w:noProof/>
                <w:webHidden/>
              </w:rPr>
              <w:instrText xml:space="preserve"> PAGEREF _Toc193796450 \h </w:instrText>
            </w:r>
            <w:r w:rsidRPr="00407108">
              <w:rPr>
                <w:rFonts w:ascii="Times New Roman" w:hAnsi="Times New Roman" w:cs="Times New Roman"/>
                <w:noProof/>
                <w:webHidden/>
              </w:rPr>
            </w:r>
            <w:r w:rsidRPr="00407108">
              <w:rPr>
                <w:rFonts w:ascii="Times New Roman" w:hAnsi="Times New Roman" w:cs="Times New Roman"/>
                <w:noProof/>
                <w:webHidden/>
              </w:rPr>
              <w:fldChar w:fldCharType="separate"/>
            </w:r>
            <w:r w:rsidRPr="00407108">
              <w:rPr>
                <w:rFonts w:ascii="Times New Roman" w:hAnsi="Times New Roman" w:cs="Times New Roman"/>
                <w:noProof/>
                <w:webHidden/>
              </w:rPr>
              <w:t>24</w:t>
            </w:r>
            <w:r w:rsidRPr="00407108">
              <w:rPr>
                <w:rFonts w:ascii="Times New Roman" w:hAnsi="Times New Roman" w:cs="Times New Roman"/>
                <w:noProof/>
                <w:webHidden/>
              </w:rPr>
              <w:fldChar w:fldCharType="end"/>
            </w:r>
          </w:hyperlink>
        </w:p>
        <w:p w14:paraId="7EBA995E" w14:textId="4119DD99" w:rsidR="00B07225" w:rsidRPr="00407108" w:rsidRDefault="007403ED" w:rsidP="00407108">
          <w:pPr>
            <w:rPr>
              <w:rFonts w:ascii="Times New Roman" w:hAnsi="Times New Roman" w:cs="Times New Roman"/>
              <w:sz w:val="24"/>
              <w:szCs w:val="24"/>
            </w:rPr>
          </w:pPr>
          <w:r w:rsidRPr="00407108">
            <w:rPr>
              <w:rFonts w:ascii="Times New Roman" w:hAnsi="Times New Roman" w:cs="Times New Roman"/>
            </w:rPr>
            <w:fldChar w:fldCharType="end"/>
          </w:r>
        </w:p>
      </w:sdtContent>
    </w:sdt>
    <w:p w14:paraId="0E1E25EE" w14:textId="77777777" w:rsidR="00407108" w:rsidRPr="00407108" w:rsidRDefault="00407108" w:rsidP="000C7302">
      <w:pPr>
        <w:jc w:val="both"/>
        <w:rPr>
          <w:rFonts w:ascii="Times New Roman" w:hAnsi="Times New Roman" w:cs="Times New Roman"/>
          <w:b/>
          <w:sz w:val="24"/>
          <w:szCs w:val="24"/>
        </w:rPr>
      </w:pPr>
    </w:p>
    <w:p w14:paraId="63A72612" w14:textId="77777777" w:rsidR="00407108" w:rsidRDefault="00407108" w:rsidP="000C7302">
      <w:pPr>
        <w:jc w:val="both"/>
        <w:rPr>
          <w:rFonts w:ascii="Times New Roman" w:hAnsi="Times New Roman" w:cs="Times New Roman"/>
          <w:b/>
          <w:sz w:val="24"/>
          <w:szCs w:val="24"/>
        </w:rPr>
      </w:pPr>
    </w:p>
    <w:p w14:paraId="2EE39E47" w14:textId="77777777" w:rsidR="00407108" w:rsidRPr="00407108" w:rsidRDefault="00407108" w:rsidP="000C7302">
      <w:pPr>
        <w:jc w:val="both"/>
        <w:rPr>
          <w:rFonts w:ascii="Times New Roman" w:hAnsi="Times New Roman" w:cs="Times New Roman"/>
          <w:b/>
          <w:sz w:val="24"/>
          <w:szCs w:val="24"/>
        </w:rPr>
      </w:pPr>
    </w:p>
    <w:p w14:paraId="5BF74959" w14:textId="47B670AF" w:rsidR="00DA52AA" w:rsidRPr="00407108" w:rsidRDefault="00220DA5" w:rsidP="007403ED">
      <w:pPr>
        <w:pStyle w:val="Naslov1"/>
      </w:pPr>
      <w:bookmarkStart w:id="0" w:name="_Toc193796424"/>
      <w:r w:rsidRPr="00407108">
        <w:lastRenderedPageBreak/>
        <w:t>1</w:t>
      </w:r>
      <w:r w:rsidR="009446F9" w:rsidRPr="00407108">
        <w:t>. OPĆI DIO</w:t>
      </w:r>
      <w:bookmarkEnd w:id="0"/>
    </w:p>
    <w:p w14:paraId="2A0EF4D7" w14:textId="77777777" w:rsidR="009446F9" w:rsidRPr="00407108" w:rsidRDefault="009446F9" w:rsidP="00DA52AA">
      <w:pPr>
        <w:jc w:val="both"/>
        <w:rPr>
          <w:rFonts w:ascii="Times New Roman" w:hAnsi="Times New Roman" w:cs="Times New Roman"/>
          <w:b/>
          <w:bCs/>
          <w:sz w:val="24"/>
          <w:szCs w:val="24"/>
        </w:rPr>
      </w:pPr>
    </w:p>
    <w:p w14:paraId="36517EF6" w14:textId="0CDBEBB3" w:rsidR="009446F9" w:rsidRPr="00407108" w:rsidRDefault="00220DA5" w:rsidP="007403ED">
      <w:pPr>
        <w:pStyle w:val="Naslov1"/>
      </w:pPr>
      <w:bookmarkStart w:id="1" w:name="_Toc193796425"/>
      <w:r w:rsidRPr="00407108">
        <w:t xml:space="preserve">1.1.  </w:t>
      </w:r>
      <w:r w:rsidR="009446F9" w:rsidRPr="00407108">
        <w:t>SAŽETAK RAČUNA PRIHODA I RASHODA</w:t>
      </w:r>
      <w:r w:rsidRPr="00407108">
        <w:t xml:space="preserve"> I RAČUNA FINANCIRANJA</w:t>
      </w:r>
      <w:bookmarkEnd w:id="1"/>
      <w:r w:rsidR="009446F9" w:rsidRPr="00407108">
        <w:t xml:space="preserve"> </w:t>
      </w:r>
    </w:p>
    <w:p w14:paraId="21267C03" w14:textId="77777777" w:rsidR="007403ED" w:rsidRPr="00407108" w:rsidRDefault="007403ED" w:rsidP="007403ED">
      <w:pPr>
        <w:pStyle w:val="Naslov1"/>
      </w:pPr>
    </w:p>
    <w:p w14:paraId="21524B84" w14:textId="224EFE1D" w:rsidR="00BE7456" w:rsidRPr="00407108" w:rsidRDefault="0021277E" w:rsidP="00DA52AA">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28E0969E" wp14:editId="12DE4134">
            <wp:extent cx="5760720" cy="4643120"/>
            <wp:effectExtent l="0" t="0" r="0" b="5080"/>
            <wp:docPr id="16933777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643120"/>
                    </a:xfrm>
                    <a:prstGeom prst="rect">
                      <a:avLst/>
                    </a:prstGeom>
                    <a:noFill/>
                    <a:ln>
                      <a:noFill/>
                    </a:ln>
                  </pic:spPr>
                </pic:pic>
              </a:graphicData>
            </a:graphic>
          </wp:inline>
        </w:drawing>
      </w:r>
    </w:p>
    <w:p w14:paraId="404D3B3D" w14:textId="61CD044C" w:rsidR="009446F9" w:rsidRPr="00407108" w:rsidRDefault="009446F9" w:rsidP="00DA52AA">
      <w:pPr>
        <w:jc w:val="both"/>
        <w:rPr>
          <w:rFonts w:ascii="Times New Roman" w:hAnsi="Times New Roman" w:cs="Times New Roman"/>
          <w:b/>
          <w:bCs/>
          <w:sz w:val="24"/>
          <w:szCs w:val="24"/>
        </w:rPr>
      </w:pPr>
    </w:p>
    <w:p w14:paraId="625A851D" w14:textId="77777777" w:rsidR="009446F9" w:rsidRPr="00407108" w:rsidRDefault="009446F9" w:rsidP="00DA52AA">
      <w:pPr>
        <w:jc w:val="both"/>
        <w:rPr>
          <w:rFonts w:ascii="Times New Roman" w:hAnsi="Times New Roman" w:cs="Times New Roman"/>
          <w:sz w:val="24"/>
          <w:szCs w:val="24"/>
        </w:rPr>
      </w:pPr>
    </w:p>
    <w:p w14:paraId="790E39BD" w14:textId="77777777" w:rsidR="00176CAA" w:rsidRPr="00407108" w:rsidRDefault="00176CAA" w:rsidP="00DA52AA">
      <w:pPr>
        <w:jc w:val="both"/>
        <w:rPr>
          <w:rFonts w:ascii="Times New Roman" w:hAnsi="Times New Roman" w:cs="Times New Roman"/>
          <w:sz w:val="24"/>
          <w:szCs w:val="24"/>
        </w:rPr>
      </w:pPr>
    </w:p>
    <w:p w14:paraId="3B7D5647" w14:textId="77777777" w:rsidR="003D5209" w:rsidRPr="00407108" w:rsidRDefault="003D5209" w:rsidP="00DA52AA">
      <w:pPr>
        <w:jc w:val="both"/>
        <w:rPr>
          <w:rFonts w:ascii="Times New Roman" w:hAnsi="Times New Roman" w:cs="Times New Roman"/>
          <w:sz w:val="24"/>
          <w:szCs w:val="24"/>
        </w:rPr>
      </w:pPr>
    </w:p>
    <w:p w14:paraId="625FB1BF" w14:textId="77777777" w:rsidR="003D5209" w:rsidRPr="00407108" w:rsidRDefault="003D5209" w:rsidP="00DA52AA">
      <w:pPr>
        <w:jc w:val="both"/>
        <w:rPr>
          <w:rFonts w:ascii="Times New Roman" w:hAnsi="Times New Roman" w:cs="Times New Roman"/>
          <w:sz w:val="24"/>
          <w:szCs w:val="24"/>
        </w:rPr>
      </w:pPr>
    </w:p>
    <w:p w14:paraId="1C78C716" w14:textId="77777777" w:rsidR="003D5209" w:rsidRPr="00407108" w:rsidRDefault="003D5209" w:rsidP="00DA52AA">
      <w:pPr>
        <w:jc w:val="both"/>
        <w:rPr>
          <w:rFonts w:ascii="Times New Roman" w:hAnsi="Times New Roman" w:cs="Times New Roman"/>
          <w:sz w:val="24"/>
          <w:szCs w:val="24"/>
        </w:rPr>
      </w:pPr>
    </w:p>
    <w:p w14:paraId="252C2D8D" w14:textId="77777777" w:rsidR="003D5209" w:rsidRPr="00407108" w:rsidRDefault="003D5209" w:rsidP="00DA52AA">
      <w:pPr>
        <w:jc w:val="both"/>
        <w:rPr>
          <w:rFonts w:ascii="Times New Roman" w:hAnsi="Times New Roman" w:cs="Times New Roman"/>
          <w:sz w:val="24"/>
          <w:szCs w:val="24"/>
        </w:rPr>
      </w:pPr>
    </w:p>
    <w:p w14:paraId="7FA91454" w14:textId="77777777" w:rsidR="004C5D48" w:rsidRPr="00407108" w:rsidRDefault="004C5D48" w:rsidP="00DA52AA">
      <w:pPr>
        <w:jc w:val="both"/>
        <w:rPr>
          <w:rFonts w:ascii="Times New Roman" w:hAnsi="Times New Roman" w:cs="Times New Roman"/>
          <w:sz w:val="24"/>
          <w:szCs w:val="24"/>
        </w:rPr>
      </w:pPr>
    </w:p>
    <w:p w14:paraId="3BD7CF9C" w14:textId="77777777" w:rsidR="004C5D48" w:rsidRPr="00407108" w:rsidRDefault="004C5D48" w:rsidP="00DA52AA">
      <w:pPr>
        <w:jc w:val="both"/>
        <w:rPr>
          <w:rFonts w:ascii="Times New Roman" w:hAnsi="Times New Roman" w:cs="Times New Roman"/>
          <w:sz w:val="24"/>
          <w:szCs w:val="24"/>
        </w:rPr>
      </w:pPr>
    </w:p>
    <w:p w14:paraId="43E3F006" w14:textId="77777777" w:rsidR="003D5209" w:rsidRPr="00407108" w:rsidRDefault="003D5209" w:rsidP="00DA52AA">
      <w:pPr>
        <w:jc w:val="both"/>
        <w:rPr>
          <w:rFonts w:ascii="Times New Roman" w:hAnsi="Times New Roman" w:cs="Times New Roman"/>
          <w:sz w:val="24"/>
          <w:szCs w:val="24"/>
        </w:rPr>
      </w:pPr>
    </w:p>
    <w:p w14:paraId="3C5442A7" w14:textId="77777777" w:rsidR="002B2731" w:rsidRPr="00407108" w:rsidRDefault="002B2731" w:rsidP="00DA52AA">
      <w:pPr>
        <w:jc w:val="both"/>
        <w:rPr>
          <w:rFonts w:ascii="Times New Roman" w:hAnsi="Times New Roman" w:cs="Times New Roman"/>
          <w:sz w:val="24"/>
          <w:szCs w:val="24"/>
        </w:rPr>
      </w:pPr>
    </w:p>
    <w:p w14:paraId="5A69FA26" w14:textId="0CA7BF26" w:rsidR="007403ED" w:rsidRPr="00407108" w:rsidRDefault="00220DA5" w:rsidP="00176CAA">
      <w:pPr>
        <w:pStyle w:val="Naslov1"/>
      </w:pPr>
      <w:bookmarkStart w:id="2" w:name="_Toc193796426"/>
      <w:r w:rsidRPr="00407108">
        <w:lastRenderedPageBreak/>
        <w:t xml:space="preserve">1.2. </w:t>
      </w:r>
      <w:r w:rsidR="00BE7456" w:rsidRPr="00407108">
        <w:t>RAČUN PRIHODA I RASHODA</w:t>
      </w:r>
      <w:bookmarkEnd w:id="2"/>
    </w:p>
    <w:p w14:paraId="71A1BC3E" w14:textId="7500E321" w:rsidR="007403ED" w:rsidRPr="00407108" w:rsidRDefault="00220DA5" w:rsidP="00176CAA">
      <w:pPr>
        <w:pStyle w:val="Naslov1"/>
      </w:pPr>
      <w:bookmarkStart w:id="3" w:name="_Toc193796427"/>
      <w:r w:rsidRPr="00407108">
        <w:t xml:space="preserve">1.2.1. </w:t>
      </w:r>
      <w:proofErr w:type="spellStart"/>
      <w:r w:rsidR="00F8553A" w:rsidRPr="00407108">
        <w:t>Izvještaj</w:t>
      </w:r>
      <w:proofErr w:type="spellEnd"/>
      <w:r w:rsidR="00F8553A" w:rsidRPr="00407108">
        <w:t xml:space="preserve"> o </w:t>
      </w:r>
      <w:proofErr w:type="spellStart"/>
      <w:r w:rsidR="00F8553A" w:rsidRPr="00407108">
        <w:t>prihodima</w:t>
      </w:r>
      <w:proofErr w:type="spellEnd"/>
      <w:r w:rsidR="00F8553A" w:rsidRPr="00407108">
        <w:t xml:space="preserve"> </w:t>
      </w:r>
      <w:proofErr w:type="spellStart"/>
      <w:r w:rsidR="00F8553A" w:rsidRPr="00407108">
        <w:t>i</w:t>
      </w:r>
      <w:proofErr w:type="spellEnd"/>
      <w:r w:rsidR="00F8553A" w:rsidRPr="00407108">
        <w:t xml:space="preserve"> </w:t>
      </w:r>
      <w:proofErr w:type="spellStart"/>
      <w:r w:rsidR="00F8553A" w:rsidRPr="00407108">
        <w:t>rashodima</w:t>
      </w:r>
      <w:proofErr w:type="spellEnd"/>
      <w:r w:rsidR="00F8553A" w:rsidRPr="00407108">
        <w:t xml:space="preserve"> prema </w:t>
      </w:r>
      <w:proofErr w:type="spellStart"/>
      <w:r w:rsidR="00F8553A" w:rsidRPr="00407108">
        <w:t>ekonomskoj</w:t>
      </w:r>
      <w:proofErr w:type="spellEnd"/>
      <w:r w:rsidR="00F8553A" w:rsidRPr="00407108">
        <w:t xml:space="preserve"> </w:t>
      </w:r>
      <w:proofErr w:type="spellStart"/>
      <w:r w:rsidR="00F8553A" w:rsidRPr="00407108">
        <w:t>klasifikaciji</w:t>
      </w:r>
      <w:bookmarkEnd w:id="3"/>
      <w:proofErr w:type="spellEnd"/>
    </w:p>
    <w:p w14:paraId="0F14FFF2" w14:textId="612CF8BC" w:rsidR="00BE7456" w:rsidRPr="00407108" w:rsidRDefault="00BE7456" w:rsidP="00DA52AA">
      <w:pPr>
        <w:jc w:val="both"/>
        <w:rPr>
          <w:rFonts w:ascii="Times New Roman" w:hAnsi="Times New Roman" w:cs="Times New Roman"/>
          <w:sz w:val="24"/>
          <w:szCs w:val="24"/>
        </w:rPr>
      </w:pPr>
    </w:p>
    <w:p w14:paraId="2AA65547" w14:textId="46480746" w:rsidR="002B2731" w:rsidRPr="00407108" w:rsidRDefault="0021277E" w:rsidP="00DA52AA">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39C15455" wp14:editId="22549184">
            <wp:extent cx="5760720" cy="3635375"/>
            <wp:effectExtent l="0" t="0" r="0" b="3175"/>
            <wp:docPr id="148692558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35375"/>
                    </a:xfrm>
                    <a:prstGeom prst="rect">
                      <a:avLst/>
                    </a:prstGeom>
                    <a:noFill/>
                    <a:ln>
                      <a:noFill/>
                    </a:ln>
                  </pic:spPr>
                </pic:pic>
              </a:graphicData>
            </a:graphic>
          </wp:inline>
        </w:drawing>
      </w:r>
    </w:p>
    <w:p w14:paraId="38DDC759" w14:textId="6F80DC21" w:rsidR="002B2731" w:rsidRPr="00407108" w:rsidRDefault="002B2731" w:rsidP="00DA52AA">
      <w:pPr>
        <w:jc w:val="both"/>
        <w:rPr>
          <w:rFonts w:ascii="Times New Roman" w:hAnsi="Times New Roman" w:cs="Times New Roman"/>
          <w:sz w:val="24"/>
          <w:szCs w:val="24"/>
        </w:rPr>
      </w:pPr>
    </w:p>
    <w:p w14:paraId="2FFFCCF6" w14:textId="295FD552" w:rsidR="002B2731" w:rsidRPr="00407108" w:rsidRDefault="0021277E" w:rsidP="00DA52AA">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554D471E" wp14:editId="6B088B5A">
            <wp:extent cx="5760720" cy="1805940"/>
            <wp:effectExtent l="0" t="0" r="0" b="3810"/>
            <wp:docPr id="78752203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05940"/>
                    </a:xfrm>
                    <a:prstGeom prst="rect">
                      <a:avLst/>
                    </a:prstGeom>
                    <a:noFill/>
                    <a:ln>
                      <a:noFill/>
                    </a:ln>
                  </pic:spPr>
                </pic:pic>
              </a:graphicData>
            </a:graphic>
          </wp:inline>
        </w:drawing>
      </w:r>
    </w:p>
    <w:p w14:paraId="4E41F74B" w14:textId="77777777" w:rsidR="002B2731" w:rsidRPr="00407108" w:rsidRDefault="002B2731" w:rsidP="00DA52AA">
      <w:pPr>
        <w:jc w:val="both"/>
        <w:rPr>
          <w:rFonts w:ascii="Times New Roman" w:hAnsi="Times New Roman" w:cs="Times New Roman"/>
          <w:sz w:val="24"/>
          <w:szCs w:val="24"/>
        </w:rPr>
      </w:pPr>
    </w:p>
    <w:p w14:paraId="2B5FE5D9" w14:textId="77777777" w:rsidR="002B2731" w:rsidRPr="00407108" w:rsidRDefault="002B2731" w:rsidP="00DA52AA">
      <w:pPr>
        <w:jc w:val="both"/>
        <w:rPr>
          <w:rFonts w:ascii="Times New Roman" w:hAnsi="Times New Roman" w:cs="Times New Roman"/>
          <w:sz w:val="24"/>
          <w:szCs w:val="24"/>
        </w:rPr>
      </w:pPr>
    </w:p>
    <w:p w14:paraId="72AF0976" w14:textId="77777777" w:rsidR="002B2731" w:rsidRPr="00407108" w:rsidRDefault="002B2731" w:rsidP="00DA52AA">
      <w:pPr>
        <w:jc w:val="both"/>
        <w:rPr>
          <w:rFonts w:ascii="Times New Roman" w:hAnsi="Times New Roman" w:cs="Times New Roman"/>
          <w:sz w:val="24"/>
          <w:szCs w:val="24"/>
        </w:rPr>
      </w:pPr>
    </w:p>
    <w:p w14:paraId="7C046435" w14:textId="77777777" w:rsidR="002B2731" w:rsidRPr="00407108" w:rsidRDefault="002B2731" w:rsidP="00DA52AA">
      <w:pPr>
        <w:jc w:val="both"/>
        <w:rPr>
          <w:rFonts w:ascii="Times New Roman" w:hAnsi="Times New Roman" w:cs="Times New Roman"/>
          <w:sz w:val="24"/>
          <w:szCs w:val="24"/>
        </w:rPr>
      </w:pPr>
    </w:p>
    <w:p w14:paraId="5E99B385" w14:textId="77777777" w:rsidR="002B2731" w:rsidRPr="00407108" w:rsidRDefault="002B2731" w:rsidP="00DA52AA">
      <w:pPr>
        <w:jc w:val="both"/>
        <w:rPr>
          <w:rFonts w:ascii="Times New Roman" w:hAnsi="Times New Roman" w:cs="Times New Roman"/>
          <w:sz w:val="24"/>
          <w:szCs w:val="24"/>
        </w:rPr>
      </w:pPr>
    </w:p>
    <w:p w14:paraId="337A21B7" w14:textId="77777777" w:rsidR="002B2731" w:rsidRPr="00407108" w:rsidRDefault="002B2731" w:rsidP="00DA52AA">
      <w:pPr>
        <w:jc w:val="both"/>
        <w:rPr>
          <w:rFonts w:ascii="Times New Roman" w:hAnsi="Times New Roman" w:cs="Times New Roman"/>
          <w:sz w:val="24"/>
          <w:szCs w:val="24"/>
        </w:rPr>
      </w:pPr>
    </w:p>
    <w:p w14:paraId="70C70605" w14:textId="77777777" w:rsidR="002B2731" w:rsidRPr="00407108" w:rsidRDefault="002B2731" w:rsidP="00DA52AA">
      <w:pPr>
        <w:jc w:val="both"/>
        <w:rPr>
          <w:rFonts w:ascii="Times New Roman" w:hAnsi="Times New Roman" w:cs="Times New Roman"/>
          <w:sz w:val="24"/>
          <w:szCs w:val="24"/>
        </w:rPr>
      </w:pPr>
    </w:p>
    <w:p w14:paraId="0C674FB9" w14:textId="77777777" w:rsidR="002B2731" w:rsidRPr="00407108" w:rsidRDefault="002B2731" w:rsidP="00DA52AA">
      <w:pPr>
        <w:jc w:val="both"/>
        <w:rPr>
          <w:rFonts w:ascii="Times New Roman" w:hAnsi="Times New Roman" w:cs="Times New Roman"/>
          <w:sz w:val="24"/>
          <w:szCs w:val="24"/>
        </w:rPr>
      </w:pPr>
    </w:p>
    <w:p w14:paraId="41155945" w14:textId="32F1358A" w:rsidR="002B2731" w:rsidRPr="00407108" w:rsidRDefault="0021277E" w:rsidP="00DA52AA">
      <w:pPr>
        <w:jc w:val="both"/>
        <w:rPr>
          <w:rFonts w:ascii="Times New Roman" w:hAnsi="Times New Roman" w:cs="Times New Roman"/>
          <w:sz w:val="24"/>
          <w:szCs w:val="24"/>
        </w:rPr>
      </w:pPr>
      <w:r w:rsidRPr="00407108">
        <w:rPr>
          <w:rFonts w:ascii="Times New Roman" w:hAnsi="Times New Roman" w:cs="Times New Roman"/>
          <w:noProof/>
        </w:rPr>
        <w:lastRenderedPageBreak/>
        <w:drawing>
          <wp:inline distT="0" distB="0" distL="0" distR="0" wp14:anchorId="69AD0A7A" wp14:editId="3003F2DC">
            <wp:extent cx="5760720" cy="8448675"/>
            <wp:effectExtent l="0" t="0" r="0" b="9525"/>
            <wp:docPr id="45590979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448675"/>
                    </a:xfrm>
                    <a:prstGeom prst="rect">
                      <a:avLst/>
                    </a:prstGeom>
                    <a:noFill/>
                    <a:ln>
                      <a:noFill/>
                    </a:ln>
                  </pic:spPr>
                </pic:pic>
              </a:graphicData>
            </a:graphic>
          </wp:inline>
        </w:drawing>
      </w:r>
    </w:p>
    <w:p w14:paraId="6EB35E8E" w14:textId="77777777" w:rsidR="002B2731" w:rsidRPr="00407108" w:rsidRDefault="002B2731" w:rsidP="00DA52AA">
      <w:pPr>
        <w:jc w:val="both"/>
        <w:rPr>
          <w:rFonts w:ascii="Times New Roman" w:hAnsi="Times New Roman" w:cs="Times New Roman"/>
          <w:sz w:val="24"/>
          <w:szCs w:val="24"/>
        </w:rPr>
      </w:pPr>
    </w:p>
    <w:p w14:paraId="59AF3B0F" w14:textId="62D29E89" w:rsidR="007403ED" w:rsidRPr="00407108" w:rsidRDefault="00220DA5" w:rsidP="0065031F">
      <w:pPr>
        <w:pStyle w:val="Naslov1"/>
      </w:pPr>
      <w:bookmarkStart w:id="4" w:name="_Toc193796428"/>
      <w:r w:rsidRPr="00407108">
        <w:lastRenderedPageBreak/>
        <w:t xml:space="preserve">1.2.2. </w:t>
      </w:r>
      <w:proofErr w:type="spellStart"/>
      <w:r w:rsidR="00F8553A" w:rsidRPr="00407108">
        <w:t>Izvještaj</w:t>
      </w:r>
      <w:proofErr w:type="spellEnd"/>
      <w:r w:rsidR="00F8553A" w:rsidRPr="00407108">
        <w:t xml:space="preserve"> o </w:t>
      </w:r>
      <w:proofErr w:type="spellStart"/>
      <w:r w:rsidR="00F8553A" w:rsidRPr="00407108">
        <w:t>prihodima</w:t>
      </w:r>
      <w:proofErr w:type="spellEnd"/>
      <w:r w:rsidR="00F8553A" w:rsidRPr="00407108">
        <w:t xml:space="preserve"> </w:t>
      </w:r>
      <w:proofErr w:type="spellStart"/>
      <w:r w:rsidR="00F8553A" w:rsidRPr="00407108">
        <w:t>i</w:t>
      </w:r>
      <w:proofErr w:type="spellEnd"/>
      <w:r w:rsidR="00F8553A" w:rsidRPr="00407108">
        <w:t xml:space="preserve"> </w:t>
      </w:r>
      <w:proofErr w:type="spellStart"/>
      <w:r w:rsidR="00F8553A" w:rsidRPr="00407108">
        <w:t>rashodima</w:t>
      </w:r>
      <w:proofErr w:type="spellEnd"/>
      <w:r w:rsidR="00F8553A" w:rsidRPr="00407108">
        <w:t xml:space="preserve"> </w:t>
      </w:r>
      <w:proofErr w:type="spellStart"/>
      <w:r w:rsidR="00F8553A" w:rsidRPr="00407108">
        <w:t>prema</w:t>
      </w:r>
      <w:proofErr w:type="spellEnd"/>
      <w:r w:rsidR="00F8553A" w:rsidRPr="00407108">
        <w:t xml:space="preserve"> </w:t>
      </w:r>
      <w:proofErr w:type="spellStart"/>
      <w:r w:rsidR="00F8553A" w:rsidRPr="00407108">
        <w:t>izvorima</w:t>
      </w:r>
      <w:proofErr w:type="spellEnd"/>
      <w:r w:rsidR="00F8553A" w:rsidRPr="00407108">
        <w:t xml:space="preserve"> </w:t>
      </w:r>
      <w:proofErr w:type="spellStart"/>
      <w:r w:rsidR="00F8553A" w:rsidRPr="00407108">
        <w:t>financiranja</w:t>
      </w:r>
      <w:bookmarkEnd w:id="4"/>
      <w:proofErr w:type="spellEnd"/>
    </w:p>
    <w:p w14:paraId="298BBB84" w14:textId="77777777" w:rsidR="00510886" w:rsidRPr="00407108" w:rsidRDefault="00510886" w:rsidP="0065031F">
      <w:pPr>
        <w:pStyle w:val="Naslov1"/>
      </w:pPr>
    </w:p>
    <w:p w14:paraId="26319343" w14:textId="77777777" w:rsidR="00510886" w:rsidRPr="00407108" w:rsidRDefault="00510886" w:rsidP="0065031F">
      <w:pPr>
        <w:pStyle w:val="Naslov1"/>
      </w:pPr>
    </w:p>
    <w:p w14:paraId="0E0FD853" w14:textId="5B1CE853" w:rsidR="00F8553A" w:rsidRPr="00407108" w:rsidRDefault="0021277E" w:rsidP="00C20D09">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7FBA99F3" wp14:editId="1A9B9D6B">
            <wp:extent cx="5760720" cy="4411980"/>
            <wp:effectExtent l="0" t="0" r="0" b="7620"/>
            <wp:docPr id="143766318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411980"/>
                    </a:xfrm>
                    <a:prstGeom prst="rect">
                      <a:avLst/>
                    </a:prstGeom>
                    <a:noFill/>
                    <a:ln>
                      <a:noFill/>
                    </a:ln>
                  </pic:spPr>
                </pic:pic>
              </a:graphicData>
            </a:graphic>
          </wp:inline>
        </w:drawing>
      </w:r>
    </w:p>
    <w:p w14:paraId="18519C2F" w14:textId="77777777" w:rsidR="00510886" w:rsidRPr="00407108" w:rsidRDefault="00510886" w:rsidP="00C20D09">
      <w:pPr>
        <w:jc w:val="both"/>
        <w:rPr>
          <w:rFonts w:ascii="Times New Roman" w:hAnsi="Times New Roman" w:cs="Times New Roman"/>
          <w:sz w:val="24"/>
          <w:szCs w:val="24"/>
        </w:rPr>
      </w:pPr>
    </w:p>
    <w:p w14:paraId="7D489B36" w14:textId="626BF63E" w:rsidR="007403ED" w:rsidRPr="00407108" w:rsidRDefault="00220DA5" w:rsidP="0065031F">
      <w:pPr>
        <w:pStyle w:val="Naslov1"/>
      </w:pPr>
      <w:bookmarkStart w:id="5" w:name="_Toc193796429"/>
      <w:r w:rsidRPr="00407108">
        <w:t xml:space="preserve">1.2.3. </w:t>
      </w:r>
      <w:proofErr w:type="spellStart"/>
      <w:r w:rsidR="00F8553A" w:rsidRPr="00407108">
        <w:t>Izvještaj</w:t>
      </w:r>
      <w:proofErr w:type="spellEnd"/>
      <w:r w:rsidR="00F8553A" w:rsidRPr="00407108">
        <w:t xml:space="preserve"> o </w:t>
      </w:r>
      <w:proofErr w:type="spellStart"/>
      <w:r w:rsidR="00F8553A" w:rsidRPr="00407108">
        <w:t>rashodima</w:t>
      </w:r>
      <w:proofErr w:type="spellEnd"/>
      <w:r w:rsidR="00F8553A" w:rsidRPr="00407108">
        <w:t xml:space="preserve"> </w:t>
      </w:r>
      <w:proofErr w:type="spellStart"/>
      <w:r w:rsidR="00F8553A" w:rsidRPr="00407108">
        <w:t>prema</w:t>
      </w:r>
      <w:proofErr w:type="spellEnd"/>
      <w:r w:rsidR="00F8553A" w:rsidRPr="00407108">
        <w:t xml:space="preserve"> </w:t>
      </w:r>
      <w:proofErr w:type="spellStart"/>
      <w:r w:rsidR="00F8553A" w:rsidRPr="00407108">
        <w:t>funkcijskoj</w:t>
      </w:r>
      <w:proofErr w:type="spellEnd"/>
      <w:r w:rsidR="00F8553A" w:rsidRPr="00407108">
        <w:t xml:space="preserve"> </w:t>
      </w:r>
      <w:proofErr w:type="spellStart"/>
      <w:r w:rsidR="00F8553A" w:rsidRPr="00407108">
        <w:t>klasifikaciji</w:t>
      </w:r>
      <w:bookmarkEnd w:id="5"/>
      <w:proofErr w:type="spellEnd"/>
    </w:p>
    <w:p w14:paraId="1CFDA6AC" w14:textId="77777777" w:rsidR="00510886" w:rsidRPr="00407108" w:rsidRDefault="00510886" w:rsidP="0065031F">
      <w:pPr>
        <w:pStyle w:val="Naslov1"/>
      </w:pPr>
    </w:p>
    <w:p w14:paraId="1611E540" w14:textId="77777777" w:rsidR="00510886" w:rsidRPr="00407108" w:rsidRDefault="00510886" w:rsidP="0065031F">
      <w:pPr>
        <w:pStyle w:val="Naslov1"/>
      </w:pPr>
    </w:p>
    <w:p w14:paraId="452A365C" w14:textId="4D0CBEE2" w:rsidR="00E03415" w:rsidRPr="00407108" w:rsidRDefault="0021277E" w:rsidP="00E03415">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23113A11" wp14:editId="1CFF197E">
            <wp:extent cx="5760720" cy="1358265"/>
            <wp:effectExtent l="0" t="0" r="0" b="0"/>
            <wp:docPr id="1983192003"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358265"/>
                    </a:xfrm>
                    <a:prstGeom prst="rect">
                      <a:avLst/>
                    </a:prstGeom>
                    <a:noFill/>
                    <a:ln>
                      <a:noFill/>
                    </a:ln>
                  </pic:spPr>
                </pic:pic>
              </a:graphicData>
            </a:graphic>
          </wp:inline>
        </w:drawing>
      </w:r>
    </w:p>
    <w:p w14:paraId="632A17C8" w14:textId="77777777" w:rsidR="0065031F" w:rsidRPr="00407108" w:rsidRDefault="0065031F" w:rsidP="00E03415">
      <w:pPr>
        <w:jc w:val="both"/>
        <w:rPr>
          <w:rFonts w:ascii="Times New Roman" w:hAnsi="Times New Roman" w:cs="Times New Roman"/>
          <w:sz w:val="24"/>
          <w:szCs w:val="24"/>
        </w:rPr>
      </w:pPr>
    </w:p>
    <w:p w14:paraId="17B3EFD2" w14:textId="77777777" w:rsidR="00510886" w:rsidRDefault="00510886" w:rsidP="00E03415">
      <w:pPr>
        <w:jc w:val="both"/>
        <w:rPr>
          <w:rFonts w:ascii="Times New Roman" w:hAnsi="Times New Roman" w:cs="Times New Roman"/>
          <w:sz w:val="24"/>
          <w:szCs w:val="24"/>
        </w:rPr>
      </w:pPr>
    </w:p>
    <w:p w14:paraId="1BE135BA" w14:textId="77777777" w:rsidR="00687C81" w:rsidRPr="00407108" w:rsidRDefault="00687C81" w:rsidP="00E03415">
      <w:pPr>
        <w:jc w:val="both"/>
        <w:rPr>
          <w:rFonts w:ascii="Times New Roman" w:hAnsi="Times New Roman" w:cs="Times New Roman"/>
          <w:sz w:val="24"/>
          <w:szCs w:val="24"/>
        </w:rPr>
      </w:pPr>
    </w:p>
    <w:p w14:paraId="65C85483" w14:textId="77777777" w:rsidR="00510886" w:rsidRPr="00407108" w:rsidRDefault="00510886" w:rsidP="00E03415">
      <w:pPr>
        <w:jc w:val="both"/>
        <w:rPr>
          <w:rFonts w:ascii="Times New Roman" w:hAnsi="Times New Roman" w:cs="Times New Roman"/>
          <w:sz w:val="24"/>
          <w:szCs w:val="24"/>
        </w:rPr>
      </w:pPr>
    </w:p>
    <w:p w14:paraId="2B19CD64" w14:textId="77777777" w:rsidR="0054431B" w:rsidRPr="00407108" w:rsidRDefault="0054431B" w:rsidP="00E03415">
      <w:pPr>
        <w:jc w:val="both"/>
        <w:rPr>
          <w:rFonts w:ascii="Times New Roman" w:hAnsi="Times New Roman" w:cs="Times New Roman"/>
          <w:sz w:val="24"/>
          <w:szCs w:val="24"/>
        </w:rPr>
      </w:pPr>
    </w:p>
    <w:p w14:paraId="547C4A64" w14:textId="743C6FB0" w:rsidR="00220DA5" w:rsidRPr="00407108" w:rsidRDefault="00220DA5" w:rsidP="007403ED">
      <w:pPr>
        <w:pStyle w:val="Naslov1"/>
      </w:pPr>
      <w:bookmarkStart w:id="6" w:name="_Toc193796430"/>
      <w:r w:rsidRPr="00407108">
        <w:lastRenderedPageBreak/>
        <w:t>1.3. RAČUN FINANCIRANJA</w:t>
      </w:r>
      <w:bookmarkEnd w:id="6"/>
    </w:p>
    <w:p w14:paraId="323466A7" w14:textId="77777777" w:rsidR="007403ED" w:rsidRPr="00407108" w:rsidRDefault="007403ED" w:rsidP="007403ED">
      <w:pPr>
        <w:pStyle w:val="Naslov1"/>
      </w:pPr>
    </w:p>
    <w:p w14:paraId="4AB76CDB" w14:textId="001FC188" w:rsidR="007403ED" w:rsidRPr="00407108" w:rsidRDefault="00220DA5" w:rsidP="0065031F">
      <w:pPr>
        <w:pStyle w:val="Naslov1"/>
      </w:pPr>
      <w:bookmarkStart w:id="7" w:name="_Toc193796431"/>
      <w:r w:rsidRPr="00407108">
        <w:t xml:space="preserve">1.3.1. </w:t>
      </w:r>
      <w:proofErr w:type="spellStart"/>
      <w:r w:rsidR="00F8553A" w:rsidRPr="00407108">
        <w:t>Izvještaj</w:t>
      </w:r>
      <w:proofErr w:type="spellEnd"/>
      <w:r w:rsidR="00F8553A" w:rsidRPr="00407108">
        <w:t xml:space="preserve"> </w:t>
      </w:r>
      <w:proofErr w:type="spellStart"/>
      <w:r w:rsidR="00F8553A" w:rsidRPr="00407108">
        <w:t>računa</w:t>
      </w:r>
      <w:proofErr w:type="spellEnd"/>
      <w:r w:rsidR="00F8553A" w:rsidRPr="00407108">
        <w:t xml:space="preserve"> </w:t>
      </w:r>
      <w:proofErr w:type="spellStart"/>
      <w:r w:rsidR="00F8553A" w:rsidRPr="00407108">
        <w:t>financiranja</w:t>
      </w:r>
      <w:proofErr w:type="spellEnd"/>
      <w:r w:rsidR="00F8553A" w:rsidRPr="00407108">
        <w:t xml:space="preserve"> </w:t>
      </w:r>
      <w:proofErr w:type="spellStart"/>
      <w:r w:rsidR="00F8553A" w:rsidRPr="00407108">
        <w:t>prema</w:t>
      </w:r>
      <w:proofErr w:type="spellEnd"/>
      <w:r w:rsidR="00F8553A" w:rsidRPr="00407108">
        <w:t xml:space="preserve"> </w:t>
      </w:r>
      <w:proofErr w:type="spellStart"/>
      <w:r w:rsidR="00F8553A" w:rsidRPr="00407108">
        <w:t>ekonomskoj</w:t>
      </w:r>
      <w:proofErr w:type="spellEnd"/>
      <w:r w:rsidR="00F8553A" w:rsidRPr="00407108">
        <w:t xml:space="preserve"> </w:t>
      </w:r>
      <w:proofErr w:type="spellStart"/>
      <w:r w:rsidR="00F8553A" w:rsidRPr="00407108">
        <w:t>klasifikaciji</w:t>
      </w:r>
      <w:bookmarkEnd w:id="7"/>
      <w:proofErr w:type="spellEnd"/>
    </w:p>
    <w:p w14:paraId="508D51A1" w14:textId="77777777" w:rsidR="00510886" w:rsidRPr="00407108" w:rsidRDefault="00510886" w:rsidP="0065031F">
      <w:pPr>
        <w:pStyle w:val="Naslov1"/>
      </w:pPr>
    </w:p>
    <w:p w14:paraId="2002A5FF" w14:textId="77777777" w:rsidR="00510886" w:rsidRPr="00407108" w:rsidRDefault="00510886" w:rsidP="0065031F">
      <w:pPr>
        <w:pStyle w:val="Naslov1"/>
      </w:pPr>
    </w:p>
    <w:p w14:paraId="73551925" w14:textId="4939ECDB" w:rsidR="000860C9" w:rsidRPr="00407108" w:rsidRDefault="0021277E" w:rsidP="00DA52AA">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7EBB8D57" wp14:editId="1BF40E9F">
            <wp:extent cx="5760720" cy="2684145"/>
            <wp:effectExtent l="0" t="0" r="0" b="1905"/>
            <wp:docPr id="1236298783"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684145"/>
                    </a:xfrm>
                    <a:prstGeom prst="rect">
                      <a:avLst/>
                    </a:prstGeom>
                    <a:noFill/>
                    <a:ln>
                      <a:noFill/>
                    </a:ln>
                  </pic:spPr>
                </pic:pic>
              </a:graphicData>
            </a:graphic>
          </wp:inline>
        </w:drawing>
      </w:r>
    </w:p>
    <w:p w14:paraId="3D98090B" w14:textId="77777777" w:rsidR="00510886" w:rsidRPr="00407108" w:rsidRDefault="00510886" w:rsidP="00DA52AA">
      <w:pPr>
        <w:jc w:val="both"/>
        <w:rPr>
          <w:rFonts w:ascii="Times New Roman" w:hAnsi="Times New Roman" w:cs="Times New Roman"/>
          <w:sz w:val="24"/>
          <w:szCs w:val="24"/>
        </w:rPr>
      </w:pPr>
    </w:p>
    <w:p w14:paraId="33CAE30A" w14:textId="0F9BC3D9" w:rsidR="00220DA5" w:rsidRPr="00407108" w:rsidRDefault="00220DA5" w:rsidP="007403ED">
      <w:pPr>
        <w:pStyle w:val="Naslov1"/>
      </w:pPr>
      <w:bookmarkStart w:id="8" w:name="_Toc193796432"/>
      <w:r w:rsidRPr="00407108">
        <w:t xml:space="preserve">1.3.2. </w:t>
      </w:r>
      <w:proofErr w:type="spellStart"/>
      <w:r w:rsidR="00F8553A" w:rsidRPr="00407108">
        <w:t>Izvještaj</w:t>
      </w:r>
      <w:proofErr w:type="spellEnd"/>
      <w:r w:rsidR="00F8553A" w:rsidRPr="00407108">
        <w:t xml:space="preserve"> </w:t>
      </w:r>
      <w:proofErr w:type="spellStart"/>
      <w:r w:rsidR="00F8553A" w:rsidRPr="00407108">
        <w:t>računa</w:t>
      </w:r>
      <w:proofErr w:type="spellEnd"/>
      <w:r w:rsidR="00F8553A" w:rsidRPr="00407108">
        <w:t xml:space="preserve"> </w:t>
      </w:r>
      <w:proofErr w:type="spellStart"/>
      <w:r w:rsidR="00F8553A" w:rsidRPr="00407108">
        <w:t>financiranja</w:t>
      </w:r>
      <w:proofErr w:type="spellEnd"/>
      <w:r w:rsidR="00F8553A" w:rsidRPr="00407108">
        <w:t xml:space="preserve"> </w:t>
      </w:r>
      <w:proofErr w:type="spellStart"/>
      <w:r w:rsidR="00F8553A" w:rsidRPr="00407108">
        <w:t>prema</w:t>
      </w:r>
      <w:proofErr w:type="spellEnd"/>
      <w:r w:rsidR="00F8553A" w:rsidRPr="00407108">
        <w:t xml:space="preserve"> </w:t>
      </w:r>
      <w:proofErr w:type="spellStart"/>
      <w:r w:rsidR="00F8553A" w:rsidRPr="00407108">
        <w:t>izvorima</w:t>
      </w:r>
      <w:proofErr w:type="spellEnd"/>
      <w:r w:rsidR="00F8553A" w:rsidRPr="00407108">
        <w:t xml:space="preserve"> </w:t>
      </w:r>
      <w:proofErr w:type="spellStart"/>
      <w:r w:rsidR="00F8553A" w:rsidRPr="00407108">
        <w:t>financiranja</w:t>
      </w:r>
      <w:bookmarkEnd w:id="8"/>
      <w:proofErr w:type="spellEnd"/>
    </w:p>
    <w:p w14:paraId="002705CC" w14:textId="77777777" w:rsidR="00510886" w:rsidRPr="00407108" w:rsidRDefault="00510886" w:rsidP="007403ED">
      <w:pPr>
        <w:pStyle w:val="Naslov1"/>
      </w:pPr>
    </w:p>
    <w:p w14:paraId="0CA43EBB" w14:textId="77777777" w:rsidR="00510886" w:rsidRPr="00407108" w:rsidRDefault="00510886" w:rsidP="007403ED">
      <w:pPr>
        <w:pStyle w:val="Naslov1"/>
      </w:pPr>
    </w:p>
    <w:p w14:paraId="1C9F91DD" w14:textId="4362A1EB" w:rsidR="009446F9" w:rsidRPr="00407108" w:rsidRDefault="0021277E" w:rsidP="00DA52AA">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33D2FE92" wp14:editId="53C2D8B8">
            <wp:extent cx="5760720" cy="1885315"/>
            <wp:effectExtent l="0" t="0" r="0" b="635"/>
            <wp:docPr id="566944883"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885315"/>
                    </a:xfrm>
                    <a:prstGeom prst="rect">
                      <a:avLst/>
                    </a:prstGeom>
                    <a:noFill/>
                    <a:ln>
                      <a:noFill/>
                    </a:ln>
                  </pic:spPr>
                </pic:pic>
              </a:graphicData>
            </a:graphic>
          </wp:inline>
        </w:drawing>
      </w:r>
    </w:p>
    <w:p w14:paraId="3BD436C0" w14:textId="77777777" w:rsidR="00510886" w:rsidRPr="00407108" w:rsidRDefault="00510886" w:rsidP="00DA52AA">
      <w:pPr>
        <w:jc w:val="both"/>
        <w:rPr>
          <w:rFonts w:ascii="Times New Roman" w:hAnsi="Times New Roman" w:cs="Times New Roman"/>
          <w:sz w:val="24"/>
          <w:szCs w:val="24"/>
        </w:rPr>
      </w:pPr>
    </w:p>
    <w:p w14:paraId="5DA92229" w14:textId="77777777" w:rsidR="00510886" w:rsidRPr="00407108" w:rsidRDefault="00510886" w:rsidP="00DA52AA">
      <w:pPr>
        <w:jc w:val="both"/>
        <w:rPr>
          <w:rFonts w:ascii="Times New Roman" w:hAnsi="Times New Roman" w:cs="Times New Roman"/>
          <w:sz w:val="24"/>
          <w:szCs w:val="24"/>
        </w:rPr>
      </w:pPr>
    </w:p>
    <w:p w14:paraId="07B56376" w14:textId="77777777" w:rsidR="00510886" w:rsidRPr="00407108" w:rsidRDefault="00510886" w:rsidP="00DA52AA">
      <w:pPr>
        <w:jc w:val="both"/>
        <w:rPr>
          <w:rFonts w:ascii="Times New Roman" w:hAnsi="Times New Roman" w:cs="Times New Roman"/>
          <w:sz w:val="24"/>
          <w:szCs w:val="24"/>
        </w:rPr>
      </w:pPr>
    </w:p>
    <w:p w14:paraId="741E25EC" w14:textId="77777777" w:rsidR="0054431B" w:rsidRPr="00407108" w:rsidRDefault="0054431B" w:rsidP="00DA52AA">
      <w:pPr>
        <w:jc w:val="both"/>
        <w:rPr>
          <w:rFonts w:ascii="Times New Roman" w:hAnsi="Times New Roman" w:cs="Times New Roman"/>
          <w:sz w:val="24"/>
          <w:szCs w:val="24"/>
        </w:rPr>
      </w:pPr>
    </w:p>
    <w:p w14:paraId="65885146" w14:textId="77777777" w:rsidR="0021277E" w:rsidRPr="00407108" w:rsidRDefault="0021277E" w:rsidP="00DA52AA">
      <w:pPr>
        <w:jc w:val="both"/>
        <w:rPr>
          <w:rFonts w:ascii="Times New Roman" w:hAnsi="Times New Roman" w:cs="Times New Roman"/>
          <w:sz w:val="24"/>
          <w:szCs w:val="24"/>
        </w:rPr>
      </w:pPr>
    </w:p>
    <w:p w14:paraId="366CC46D" w14:textId="77777777" w:rsidR="0021277E" w:rsidRPr="00407108" w:rsidRDefault="0021277E" w:rsidP="00DA52AA">
      <w:pPr>
        <w:jc w:val="both"/>
        <w:rPr>
          <w:rFonts w:ascii="Times New Roman" w:hAnsi="Times New Roman" w:cs="Times New Roman"/>
          <w:sz w:val="24"/>
          <w:szCs w:val="24"/>
        </w:rPr>
      </w:pPr>
    </w:p>
    <w:p w14:paraId="7FA92660" w14:textId="77777777" w:rsidR="0054431B" w:rsidRPr="00407108" w:rsidRDefault="0054431B" w:rsidP="00DA52AA">
      <w:pPr>
        <w:jc w:val="both"/>
        <w:rPr>
          <w:rFonts w:ascii="Times New Roman" w:hAnsi="Times New Roman" w:cs="Times New Roman"/>
          <w:sz w:val="24"/>
          <w:szCs w:val="24"/>
        </w:rPr>
      </w:pPr>
    </w:p>
    <w:p w14:paraId="07C7CDBB" w14:textId="77777777" w:rsidR="0054431B" w:rsidRPr="00407108" w:rsidRDefault="0054431B" w:rsidP="00DA52AA">
      <w:pPr>
        <w:jc w:val="both"/>
        <w:rPr>
          <w:rFonts w:ascii="Times New Roman" w:hAnsi="Times New Roman" w:cs="Times New Roman"/>
          <w:sz w:val="24"/>
          <w:szCs w:val="24"/>
        </w:rPr>
      </w:pPr>
    </w:p>
    <w:p w14:paraId="74A14790"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9" w:name="_Toc161648117"/>
      <w:bookmarkStart w:id="10" w:name="_Toc193796433"/>
      <w:r w:rsidRPr="0021277E">
        <w:rPr>
          <w:rFonts w:ascii="Times New Roman" w:eastAsia="Times New Roman" w:hAnsi="Times New Roman" w:cs="Times New Roman"/>
          <w:b/>
          <w:bCs/>
          <w:sz w:val="24"/>
          <w:szCs w:val="24"/>
          <w:lang w:val="en-GB" w:eastAsia="en-GB" w:bidi="en-GB"/>
        </w:rPr>
        <w:lastRenderedPageBreak/>
        <w:t>2. OBRAZLOŽENJE OPĆEG DIJELA GODIŠNJEG IZVJEŠTAJA O IZVRŠENJU FINANCIJSKOG PLANA</w:t>
      </w:r>
      <w:bookmarkEnd w:id="9"/>
      <w:bookmarkEnd w:id="10"/>
    </w:p>
    <w:p w14:paraId="6A4364FB" w14:textId="77777777" w:rsidR="0021277E" w:rsidRPr="0021277E" w:rsidRDefault="0021277E" w:rsidP="0021277E">
      <w:pPr>
        <w:jc w:val="both"/>
        <w:rPr>
          <w:rFonts w:ascii="Times New Roman" w:hAnsi="Times New Roman" w:cs="Times New Roman"/>
          <w:b/>
          <w:bCs/>
          <w:sz w:val="24"/>
          <w:szCs w:val="24"/>
        </w:rPr>
      </w:pPr>
    </w:p>
    <w:p w14:paraId="3685F32F"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1" w:name="_Toc161648118"/>
      <w:bookmarkStart w:id="12" w:name="_Toc193796434"/>
      <w:r w:rsidRPr="0021277E">
        <w:rPr>
          <w:rFonts w:ascii="Times New Roman" w:eastAsia="Times New Roman" w:hAnsi="Times New Roman" w:cs="Times New Roman"/>
          <w:b/>
          <w:bCs/>
          <w:sz w:val="24"/>
          <w:szCs w:val="24"/>
          <w:lang w:val="en-GB" w:eastAsia="en-GB" w:bidi="en-GB"/>
        </w:rPr>
        <w:t>2.1. OBRAZLOŽENJE OSTVARENJA PRIHODA I RASHODA, PRIMITAKA I IZDATAKA</w:t>
      </w:r>
      <w:bookmarkEnd w:id="11"/>
      <w:bookmarkEnd w:id="12"/>
    </w:p>
    <w:p w14:paraId="4BCF3188"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66AC17FA"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3" w:name="_Toc161648119"/>
      <w:bookmarkStart w:id="14" w:name="_Toc193796435"/>
      <w:r w:rsidRPr="0021277E">
        <w:rPr>
          <w:rFonts w:ascii="Times New Roman" w:eastAsia="Times New Roman" w:hAnsi="Times New Roman" w:cs="Times New Roman"/>
          <w:b/>
          <w:bCs/>
          <w:sz w:val="24"/>
          <w:szCs w:val="24"/>
          <w:lang w:val="en-GB" w:eastAsia="en-GB" w:bidi="en-GB"/>
        </w:rPr>
        <w:t xml:space="preserve">2.1.1. </w:t>
      </w:r>
      <w:proofErr w:type="spellStart"/>
      <w:r w:rsidRPr="0021277E">
        <w:rPr>
          <w:rFonts w:ascii="Times New Roman" w:eastAsia="Times New Roman" w:hAnsi="Times New Roman" w:cs="Times New Roman"/>
          <w:b/>
          <w:bCs/>
          <w:sz w:val="24"/>
          <w:szCs w:val="24"/>
          <w:lang w:val="en-GB" w:eastAsia="en-GB" w:bidi="en-GB"/>
        </w:rPr>
        <w:t>Prihodi</w:t>
      </w:r>
      <w:proofErr w:type="spellEnd"/>
      <w:r w:rsidRPr="0021277E">
        <w:rPr>
          <w:rFonts w:ascii="Times New Roman" w:eastAsia="Times New Roman" w:hAnsi="Times New Roman" w:cs="Times New Roman"/>
          <w:b/>
          <w:bCs/>
          <w:sz w:val="24"/>
          <w:szCs w:val="24"/>
          <w:lang w:val="en-GB" w:eastAsia="en-GB" w:bidi="en-GB"/>
        </w:rPr>
        <w:t xml:space="preserve"> </w:t>
      </w:r>
      <w:proofErr w:type="spellStart"/>
      <w:r w:rsidRPr="0021277E">
        <w:rPr>
          <w:rFonts w:ascii="Times New Roman" w:eastAsia="Times New Roman" w:hAnsi="Times New Roman" w:cs="Times New Roman"/>
          <w:b/>
          <w:bCs/>
          <w:sz w:val="24"/>
          <w:szCs w:val="24"/>
          <w:lang w:val="en-GB" w:eastAsia="en-GB" w:bidi="en-GB"/>
        </w:rPr>
        <w:t>i</w:t>
      </w:r>
      <w:proofErr w:type="spellEnd"/>
      <w:r w:rsidRPr="0021277E">
        <w:rPr>
          <w:rFonts w:ascii="Times New Roman" w:eastAsia="Times New Roman" w:hAnsi="Times New Roman" w:cs="Times New Roman"/>
          <w:b/>
          <w:bCs/>
          <w:sz w:val="24"/>
          <w:szCs w:val="24"/>
          <w:lang w:val="en-GB" w:eastAsia="en-GB" w:bidi="en-GB"/>
        </w:rPr>
        <w:t xml:space="preserve"> </w:t>
      </w:r>
      <w:proofErr w:type="spellStart"/>
      <w:r w:rsidRPr="0021277E">
        <w:rPr>
          <w:rFonts w:ascii="Times New Roman" w:eastAsia="Times New Roman" w:hAnsi="Times New Roman" w:cs="Times New Roman"/>
          <w:b/>
          <w:bCs/>
          <w:sz w:val="24"/>
          <w:szCs w:val="24"/>
          <w:lang w:val="en-GB" w:eastAsia="en-GB" w:bidi="en-GB"/>
        </w:rPr>
        <w:t>primici</w:t>
      </w:r>
      <w:bookmarkEnd w:id="13"/>
      <w:bookmarkEnd w:id="14"/>
      <w:proofErr w:type="spellEnd"/>
    </w:p>
    <w:p w14:paraId="7320CF66" w14:textId="77777777" w:rsidR="0021277E" w:rsidRPr="0021277E" w:rsidRDefault="0021277E" w:rsidP="0021277E">
      <w:pPr>
        <w:jc w:val="both"/>
        <w:rPr>
          <w:rFonts w:ascii="Times New Roman" w:hAnsi="Times New Roman" w:cs="Times New Roman"/>
          <w:sz w:val="24"/>
          <w:szCs w:val="24"/>
        </w:rPr>
      </w:pPr>
    </w:p>
    <w:p w14:paraId="4CC16661"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sz w:val="24"/>
          <w:szCs w:val="24"/>
        </w:rPr>
        <w:t>Javna ustanova Lučka uprava Slavonski Brod ostvarila je u razdoblju 01.01.-31.12.2024. godine ukupne prihode u iznosu od 5.649.942,70 € što je 63,48% u odnosu na planirani iznos od 8.900.039 €. Ostvareni prihodi sastoje se od naplaćenih naknada za koncesije u iznosu od 126.448,57 €, naplaćenih ostalih pristojbi i naknada u iznosu od 675.871,36 €, prihoda iz nadležnog proračuna za financiranje rashoda poslovanja u iznosu od 845.500,87 €, prihoda iz nadležnog proračuna za financiranje rashoda za nabavu nefinancijske imovine u iznosu od 3.502.261,81 € i prihoda iz nadležnog proračuna za financiranje izdataka za otplatu zajmova u iznosu od 499.860,09 €.</w:t>
      </w:r>
    </w:p>
    <w:p w14:paraId="3281677D"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noProof/>
          <w:kern w:val="2"/>
          <w14:ligatures w14:val="standardContextual"/>
        </w:rPr>
        <w:drawing>
          <wp:inline distT="0" distB="0" distL="0" distR="0" wp14:anchorId="41510AB1" wp14:editId="5D140AC1">
            <wp:extent cx="5448296" cy="4386267"/>
            <wp:effectExtent l="0" t="0" r="635" b="14605"/>
            <wp:docPr id="646944033" name="Grafikon 1">
              <a:extLst xmlns:a="http://schemas.openxmlformats.org/drawingml/2006/main">
                <a:ext uri="{FF2B5EF4-FFF2-40B4-BE49-F238E27FC236}">
                  <a16:creationId xmlns:a16="http://schemas.microsoft.com/office/drawing/2014/main" id="{B30F41B7-D1AA-55A7-1EB3-892DAD6C50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6BEE7E" w14:textId="77777777" w:rsidR="0021277E" w:rsidRPr="0021277E" w:rsidRDefault="0021277E" w:rsidP="0021277E">
      <w:pPr>
        <w:jc w:val="both"/>
        <w:rPr>
          <w:rFonts w:ascii="Times New Roman" w:hAnsi="Times New Roman" w:cs="Times New Roman"/>
          <w:b/>
          <w:bCs/>
          <w:sz w:val="24"/>
          <w:szCs w:val="24"/>
          <w:lang w:bidi="en-GB"/>
        </w:rPr>
      </w:pPr>
    </w:p>
    <w:p w14:paraId="2CA92793" w14:textId="77777777" w:rsidR="0021277E" w:rsidRPr="0021277E" w:rsidRDefault="0021277E" w:rsidP="0021277E">
      <w:pPr>
        <w:jc w:val="both"/>
        <w:rPr>
          <w:rFonts w:ascii="Times New Roman" w:hAnsi="Times New Roman" w:cs="Times New Roman"/>
          <w:b/>
          <w:bCs/>
          <w:sz w:val="24"/>
          <w:szCs w:val="24"/>
          <w:lang w:bidi="en-GB"/>
        </w:rPr>
      </w:pPr>
    </w:p>
    <w:p w14:paraId="705FF709" w14:textId="77777777" w:rsidR="0021277E" w:rsidRPr="0021277E" w:rsidRDefault="0021277E" w:rsidP="0021277E">
      <w:pPr>
        <w:jc w:val="both"/>
        <w:rPr>
          <w:rFonts w:ascii="Times New Roman" w:hAnsi="Times New Roman" w:cs="Times New Roman"/>
          <w:b/>
          <w:bCs/>
          <w:sz w:val="24"/>
          <w:szCs w:val="24"/>
          <w:lang w:bidi="en-GB"/>
        </w:rPr>
      </w:pPr>
    </w:p>
    <w:p w14:paraId="2C94FCCC" w14:textId="77777777" w:rsidR="0021277E" w:rsidRPr="0021277E" w:rsidRDefault="0021277E" w:rsidP="0021277E">
      <w:pPr>
        <w:jc w:val="both"/>
        <w:rPr>
          <w:rFonts w:ascii="Times New Roman" w:hAnsi="Times New Roman" w:cs="Times New Roman"/>
          <w:b/>
          <w:bCs/>
          <w:sz w:val="24"/>
          <w:szCs w:val="24"/>
          <w:lang w:bidi="en-GB"/>
        </w:rPr>
      </w:pPr>
    </w:p>
    <w:p w14:paraId="6AB2E092"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5" w:name="_Toc161648120"/>
      <w:bookmarkStart w:id="16" w:name="_Toc193796436"/>
      <w:r w:rsidRPr="0021277E">
        <w:rPr>
          <w:rFonts w:ascii="Times New Roman" w:eastAsia="Times New Roman" w:hAnsi="Times New Roman" w:cs="Times New Roman"/>
          <w:b/>
          <w:bCs/>
          <w:sz w:val="24"/>
          <w:szCs w:val="24"/>
          <w:lang w:val="en-GB" w:eastAsia="en-GB" w:bidi="en-GB"/>
        </w:rPr>
        <w:lastRenderedPageBreak/>
        <w:t xml:space="preserve">2.1.2. </w:t>
      </w:r>
      <w:proofErr w:type="spellStart"/>
      <w:r w:rsidRPr="0021277E">
        <w:rPr>
          <w:rFonts w:ascii="Times New Roman" w:eastAsia="Times New Roman" w:hAnsi="Times New Roman" w:cs="Times New Roman"/>
          <w:b/>
          <w:bCs/>
          <w:sz w:val="24"/>
          <w:szCs w:val="24"/>
          <w:lang w:val="en-GB" w:eastAsia="en-GB" w:bidi="en-GB"/>
        </w:rPr>
        <w:t>Rashodi</w:t>
      </w:r>
      <w:proofErr w:type="spellEnd"/>
      <w:r w:rsidRPr="0021277E">
        <w:rPr>
          <w:rFonts w:ascii="Times New Roman" w:eastAsia="Times New Roman" w:hAnsi="Times New Roman" w:cs="Times New Roman"/>
          <w:b/>
          <w:bCs/>
          <w:sz w:val="24"/>
          <w:szCs w:val="24"/>
          <w:lang w:val="en-GB" w:eastAsia="en-GB" w:bidi="en-GB"/>
        </w:rPr>
        <w:t xml:space="preserve"> </w:t>
      </w:r>
      <w:proofErr w:type="spellStart"/>
      <w:r w:rsidRPr="0021277E">
        <w:rPr>
          <w:rFonts w:ascii="Times New Roman" w:eastAsia="Times New Roman" w:hAnsi="Times New Roman" w:cs="Times New Roman"/>
          <w:b/>
          <w:bCs/>
          <w:sz w:val="24"/>
          <w:szCs w:val="24"/>
          <w:lang w:val="en-GB" w:eastAsia="en-GB" w:bidi="en-GB"/>
        </w:rPr>
        <w:t>i</w:t>
      </w:r>
      <w:proofErr w:type="spellEnd"/>
      <w:r w:rsidRPr="0021277E">
        <w:rPr>
          <w:rFonts w:ascii="Times New Roman" w:eastAsia="Times New Roman" w:hAnsi="Times New Roman" w:cs="Times New Roman"/>
          <w:b/>
          <w:bCs/>
          <w:sz w:val="24"/>
          <w:szCs w:val="24"/>
          <w:lang w:val="en-GB" w:eastAsia="en-GB" w:bidi="en-GB"/>
        </w:rPr>
        <w:t xml:space="preserve"> </w:t>
      </w:r>
      <w:proofErr w:type="spellStart"/>
      <w:r w:rsidRPr="0021277E">
        <w:rPr>
          <w:rFonts w:ascii="Times New Roman" w:eastAsia="Times New Roman" w:hAnsi="Times New Roman" w:cs="Times New Roman"/>
          <w:b/>
          <w:bCs/>
          <w:sz w:val="24"/>
          <w:szCs w:val="24"/>
          <w:lang w:val="en-GB" w:eastAsia="en-GB" w:bidi="en-GB"/>
        </w:rPr>
        <w:t>izdaci</w:t>
      </w:r>
      <w:bookmarkEnd w:id="15"/>
      <w:bookmarkEnd w:id="16"/>
      <w:proofErr w:type="spellEnd"/>
    </w:p>
    <w:p w14:paraId="6B5E1F4C" w14:textId="77777777" w:rsidR="0021277E" w:rsidRPr="0021277E" w:rsidRDefault="0021277E" w:rsidP="0021277E">
      <w:pPr>
        <w:jc w:val="both"/>
        <w:rPr>
          <w:rFonts w:ascii="Times New Roman" w:hAnsi="Times New Roman" w:cs="Times New Roman"/>
          <w:b/>
          <w:bCs/>
          <w:sz w:val="24"/>
          <w:szCs w:val="24"/>
          <w:lang w:bidi="en-GB"/>
        </w:rPr>
      </w:pPr>
    </w:p>
    <w:p w14:paraId="14E393C8"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sz w:val="24"/>
          <w:szCs w:val="24"/>
        </w:rPr>
        <w:t>Rashodi Lučke uprave Slavonski Brod ostvareni su u periodu 01.01.-31.12.2024. godine u iznosu od 5.358.852,88 € što je 62,61% u odnosu na planirani iznos od 8.558.735 €. Ostvareni rashodi odnose se na rashode za zaposlene u iznosu od 210.726,83 €, materijalne rashode u iznosu od 1.185.013,12 €, financijske rashode u iznosu od 451.667,27 € i rashode za nabavu proizvedene dugotrajne imovine u iznosu od 3.511.445,66 €.</w:t>
      </w:r>
    </w:p>
    <w:p w14:paraId="79A92C28"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sz w:val="24"/>
          <w:szCs w:val="24"/>
        </w:rPr>
        <w:t>Izdaci koji su ostvareni u periodu 01.01.-31.12.2024. godine odnose se na izdatke za otplate glavnice primljenih kredita i zajmova u iznosu od 499.860,09 € što je 94,63% u odnosu na planirani iznos od 528.236 €.</w:t>
      </w:r>
    </w:p>
    <w:p w14:paraId="6A0FE5D4"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noProof/>
          <w:kern w:val="2"/>
          <w14:ligatures w14:val="standardContextual"/>
        </w:rPr>
        <w:drawing>
          <wp:inline distT="0" distB="0" distL="0" distR="0" wp14:anchorId="64ED81E0" wp14:editId="069C6092">
            <wp:extent cx="5781675" cy="3905250"/>
            <wp:effectExtent l="0" t="0" r="9525" b="0"/>
            <wp:docPr id="2048525075" name="Grafikon 1">
              <a:extLst xmlns:a="http://schemas.openxmlformats.org/drawingml/2006/main">
                <a:ext uri="{FF2B5EF4-FFF2-40B4-BE49-F238E27FC236}">
                  <a16:creationId xmlns:a16="http://schemas.microsoft.com/office/drawing/2014/main" id="{9FD533BF-89D0-B543-9599-1A9A54CBC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F0D40C" w14:textId="77777777" w:rsidR="0021277E" w:rsidRPr="0021277E" w:rsidRDefault="0021277E" w:rsidP="0021277E">
      <w:pPr>
        <w:jc w:val="both"/>
        <w:rPr>
          <w:rFonts w:ascii="Times New Roman" w:hAnsi="Times New Roman" w:cs="Times New Roman"/>
          <w:sz w:val="24"/>
          <w:szCs w:val="24"/>
        </w:rPr>
      </w:pPr>
    </w:p>
    <w:p w14:paraId="7803CEFC"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7" w:name="_Toc161648122"/>
      <w:bookmarkStart w:id="18" w:name="_Toc193796437"/>
      <w:r w:rsidRPr="0021277E">
        <w:rPr>
          <w:rFonts w:ascii="Times New Roman" w:eastAsia="Times New Roman" w:hAnsi="Times New Roman" w:cs="Times New Roman"/>
          <w:b/>
          <w:bCs/>
          <w:sz w:val="24"/>
          <w:szCs w:val="24"/>
          <w:lang w:val="en-GB" w:eastAsia="en-GB" w:bidi="en-GB"/>
        </w:rPr>
        <w:t>2.2. STANJE NOVČANIH SREDSTAVA NA RAČUNIMA NA POČETKU I NA KRAJU PRORAČUNSKE GODINE</w:t>
      </w:r>
      <w:bookmarkEnd w:id="17"/>
      <w:bookmarkEnd w:id="18"/>
    </w:p>
    <w:p w14:paraId="452898DA"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417CAE0D" w14:textId="77777777" w:rsidR="0021277E" w:rsidRPr="0021277E" w:rsidRDefault="0021277E" w:rsidP="0021277E">
      <w:pPr>
        <w:jc w:val="both"/>
        <w:rPr>
          <w:rFonts w:ascii="Times New Roman" w:hAnsi="Times New Roman" w:cs="Times New Roman"/>
          <w:sz w:val="24"/>
          <w:szCs w:val="24"/>
          <w:lang w:bidi="en-GB"/>
        </w:rPr>
      </w:pPr>
      <w:r w:rsidRPr="0021277E">
        <w:rPr>
          <w:rFonts w:ascii="Times New Roman" w:hAnsi="Times New Roman" w:cs="Times New Roman"/>
          <w:sz w:val="24"/>
          <w:szCs w:val="24"/>
          <w:lang w:bidi="en-GB"/>
        </w:rPr>
        <w:t xml:space="preserve">Lučka uprava Slavonski Brod nema ostvarenih sredstava na računima jer posluje preko jedinstvenog računa državne riznice. </w:t>
      </w:r>
    </w:p>
    <w:p w14:paraId="672DEDCE" w14:textId="77777777" w:rsidR="0021277E" w:rsidRPr="0021277E" w:rsidRDefault="0021277E" w:rsidP="0021277E">
      <w:pPr>
        <w:jc w:val="both"/>
        <w:rPr>
          <w:rFonts w:ascii="Times New Roman" w:hAnsi="Times New Roman" w:cs="Times New Roman"/>
          <w:sz w:val="24"/>
          <w:szCs w:val="24"/>
        </w:rPr>
      </w:pPr>
    </w:p>
    <w:p w14:paraId="6808E3CE" w14:textId="77777777" w:rsidR="0021277E" w:rsidRPr="0021277E" w:rsidRDefault="0021277E" w:rsidP="0021277E">
      <w:pPr>
        <w:jc w:val="both"/>
        <w:rPr>
          <w:rFonts w:ascii="Times New Roman" w:hAnsi="Times New Roman" w:cs="Times New Roman"/>
          <w:sz w:val="24"/>
          <w:szCs w:val="24"/>
        </w:rPr>
      </w:pPr>
    </w:p>
    <w:p w14:paraId="38184C39" w14:textId="77777777" w:rsidR="0021277E" w:rsidRPr="0021277E" w:rsidRDefault="0021277E" w:rsidP="0021277E">
      <w:pPr>
        <w:jc w:val="both"/>
        <w:rPr>
          <w:rFonts w:ascii="Times New Roman" w:hAnsi="Times New Roman" w:cs="Times New Roman"/>
          <w:sz w:val="24"/>
          <w:szCs w:val="24"/>
        </w:rPr>
      </w:pPr>
    </w:p>
    <w:p w14:paraId="17310040" w14:textId="77777777" w:rsidR="0021277E" w:rsidRPr="0021277E" w:rsidRDefault="0021277E" w:rsidP="0021277E">
      <w:pPr>
        <w:jc w:val="both"/>
        <w:rPr>
          <w:rFonts w:ascii="Times New Roman" w:hAnsi="Times New Roman" w:cs="Times New Roman"/>
          <w:sz w:val="24"/>
          <w:szCs w:val="24"/>
        </w:rPr>
      </w:pPr>
    </w:p>
    <w:p w14:paraId="240FAF3C" w14:textId="77777777" w:rsidR="0021277E" w:rsidRPr="0021277E" w:rsidRDefault="0021277E" w:rsidP="0021277E">
      <w:pPr>
        <w:jc w:val="both"/>
        <w:rPr>
          <w:rFonts w:ascii="Times New Roman" w:hAnsi="Times New Roman" w:cs="Times New Roman"/>
          <w:sz w:val="24"/>
          <w:szCs w:val="24"/>
        </w:rPr>
      </w:pPr>
    </w:p>
    <w:p w14:paraId="08C25D87" w14:textId="77777777" w:rsidR="0021277E" w:rsidRPr="0021277E" w:rsidRDefault="0021277E" w:rsidP="0021277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9" w:name="_Toc161648121"/>
      <w:bookmarkStart w:id="20" w:name="_Toc193796438"/>
      <w:r w:rsidRPr="0021277E">
        <w:rPr>
          <w:rFonts w:ascii="Times New Roman" w:eastAsia="Times New Roman" w:hAnsi="Times New Roman" w:cs="Times New Roman"/>
          <w:b/>
          <w:bCs/>
          <w:sz w:val="24"/>
          <w:szCs w:val="24"/>
          <w:lang w:val="en-GB" w:eastAsia="en-GB" w:bidi="en-GB"/>
        </w:rPr>
        <w:lastRenderedPageBreak/>
        <w:t>2.3. OBRAZLOŽENJE OSTVARENOG PRIJENOSA SREDSTAVA IZ PRETHODNE GODINE I PRIJENOSA SREDSTAVA U SLIJEDEĆE RAZDOBLJE</w:t>
      </w:r>
      <w:bookmarkEnd w:id="19"/>
      <w:bookmarkEnd w:id="20"/>
    </w:p>
    <w:p w14:paraId="238AB785" w14:textId="77777777" w:rsidR="0021277E" w:rsidRPr="0021277E" w:rsidRDefault="0021277E" w:rsidP="0021277E">
      <w:pPr>
        <w:jc w:val="both"/>
        <w:rPr>
          <w:rFonts w:ascii="Times New Roman" w:hAnsi="Times New Roman" w:cs="Times New Roman"/>
          <w:b/>
          <w:bCs/>
          <w:sz w:val="24"/>
          <w:szCs w:val="24"/>
          <w:lang w:bidi="en-GB"/>
        </w:rPr>
      </w:pPr>
    </w:p>
    <w:p w14:paraId="1BAF3AFE"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sz w:val="24"/>
          <w:szCs w:val="24"/>
        </w:rPr>
        <w:t xml:space="preserve">Prijenos sredstava iz prethodne godine ostvaren je u iznosu 288.412,07 €, a odnosi se na: </w:t>
      </w:r>
    </w:p>
    <w:p w14:paraId="2C76D54D" w14:textId="77777777" w:rsidR="0021277E" w:rsidRPr="0021277E" w:rsidRDefault="0021277E" w:rsidP="0021277E">
      <w:pPr>
        <w:numPr>
          <w:ilvl w:val="0"/>
          <w:numId w:val="11"/>
        </w:numPr>
        <w:jc w:val="both"/>
        <w:rPr>
          <w:rFonts w:ascii="Times New Roman" w:hAnsi="Times New Roman" w:cs="Times New Roman"/>
          <w:sz w:val="24"/>
          <w:szCs w:val="24"/>
        </w:rPr>
      </w:pPr>
      <w:r w:rsidRPr="0021277E">
        <w:rPr>
          <w:rFonts w:ascii="Times New Roman" w:hAnsi="Times New Roman" w:cs="Times New Roman"/>
          <w:sz w:val="24"/>
          <w:szCs w:val="24"/>
        </w:rPr>
        <w:t xml:space="preserve">Izvor 43 – Ostali prihodi za posebne namjene u iznosu 133.479,63 € –  prihodi koje Lučka uprava Slavonski Brod ostvaruje iz ovog izvora odnose se na koncesijske naknade i ostale naknade i pristojbe za posebne namjene, a koje se troše za financiranje redovnog poslovanja Lučke uprave Slavonski Brod. </w:t>
      </w:r>
    </w:p>
    <w:p w14:paraId="65E1B932" w14:textId="77777777" w:rsidR="0021277E" w:rsidRPr="0021277E" w:rsidRDefault="0021277E" w:rsidP="0021277E">
      <w:pPr>
        <w:numPr>
          <w:ilvl w:val="0"/>
          <w:numId w:val="11"/>
        </w:numPr>
        <w:jc w:val="both"/>
        <w:rPr>
          <w:rFonts w:ascii="Times New Roman" w:hAnsi="Times New Roman" w:cs="Times New Roman"/>
          <w:sz w:val="24"/>
          <w:szCs w:val="24"/>
        </w:rPr>
      </w:pPr>
      <w:r w:rsidRPr="0021277E">
        <w:rPr>
          <w:rFonts w:ascii="Times New Roman" w:hAnsi="Times New Roman" w:cs="Times New Roman"/>
          <w:sz w:val="24"/>
          <w:szCs w:val="24"/>
        </w:rPr>
        <w:t>Izvor 51 – Pomoći EU u iznosu od 154.932,44 € – odnosi se na 50% sredstava iz EU koja su uplaćena i koja su namijenjena za realizaciju projekta ''CEF-Izrada studija i projektne dokumentacije za potrebe izgradnje terminala za opasne terete u luci Slavonski Brod''.</w:t>
      </w:r>
    </w:p>
    <w:p w14:paraId="1F8AA548" w14:textId="77777777" w:rsidR="0021277E" w:rsidRPr="0021277E" w:rsidRDefault="0021277E" w:rsidP="0021277E">
      <w:pPr>
        <w:jc w:val="both"/>
        <w:rPr>
          <w:rFonts w:ascii="Times New Roman" w:hAnsi="Times New Roman" w:cs="Times New Roman"/>
          <w:sz w:val="24"/>
          <w:szCs w:val="24"/>
        </w:rPr>
      </w:pPr>
      <w:r w:rsidRPr="0021277E">
        <w:rPr>
          <w:rFonts w:ascii="Times New Roman" w:hAnsi="Times New Roman" w:cs="Times New Roman"/>
          <w:sz w:val="24"/>
          <w:szCs w:val="24"/>
        </w:rPr>
        <w:t>Iznos sredstava koji ostaje za prijenos u slijedeće razdoblje je 79.641,80 €, a odnosi se na:</w:t>
      </w:r>
    </w:p>
    <w:p w14:paraId="24F38723" w14:textId="77777777" w:rsidR="0021277E" w:rsidRPr="0021277E" w:rsidRDefault="0021277E" w:rsidP="0021277E">
      <w:pPr>
        <w:numPr>
          <w:ilvl w:val="0"/>
          <w:numId w:val="11"/>
        </w:numPr>
        <w:jc w:val="both"/>
        <w:rPr>
          <w:rFonts w:ascii="Times New Roman" w:hAnsi="Times New Roman" w:cs="Times New Roman"/>
          <w:sz w:val="24"/>
          <w:szCs w:val="24"/>
        </w:rPr>
      </w:pPr>
      <w:r w:rsidRPr="0021277E">
        <w:rPr>
          <w:rFonts w:ascii="Times New Roman" w:hAnsi="Times New Roman" w:cs="Times New Roman"/>
          <w:sz w:val="24"/>
          <w:szCs w:val="24"/>
        </w:rPr>
        <w:t>Izvor 43 – 79.641,80 € koji će se potrošiti za  financiranje rashoda poslovanja (rashodi za zaposlene, materijalni rashodi i financijski rashodi) Lučke uprave Slavonski Brod u 2025. godini.</w:t>
      </w:r>
    </w:p>
    <w:p w14:paraId="2D94043C" w14:textId="77777777" w:rsidR="0021277E" w:rsidRPr="0021277E" w:rsidRDefault="0021277E" w:rsidP="0021277E">
      <w:pPr>
        <w:ind w:left="720"/>
        <w:jc w:val="both"/>
        <w:rPr>
          <w:rFonts w:ascii="Times New Roman" w:hAnsi="Times New Roman" w:cs="Times New Roman"/>
          <w:sz w:val="24"/>
          <w:szCs w:val="24"/>
        </w:rPr>
      </w:pPr>
    </w:p>
    <w:p w14:paraId="22734651" w14:textId="77777777" w:rsidR="0021277E" w:rsidRPr="0021277E" w:rsidRDefault="0021277E" w:rsidP="0021277E">
      <w:pPr>
        <w:jc w:val="both"/>
        <w:rPr>
          <w:rFonts w:ascii="Times New Roman" w:hAnsi="Times New Roman" w:cs="Times New Roman"/>
          <w:sz w:val="24"/>
          <w:szCs w:val="24"/>
          <w:lang w:bidi="en-GB"/>
        </w:rPr>
      </w:pPr>
    </w:p>
    <w:p w14:paraId="3B5D6712" w14:textId="77777777" w:rsidR="0021277E" w:rsidRPr="0021277E" w:rsidRDefault="0021277E" w:rsidP="0021277E">
      <w:pPr>
        <w:jc w:val="both"/>
        <w:rPr>
          <w:rFonts w:ascii="Times New Roman" w:hAnsi="Times New Roman" w:cs="Times New Roman"/>
          <w:sz w:val="24"/>
          <w:szCs w:val="24"/>
          <w:lang w:bidi="en-GB"/>
        </w:rPr>
      </w:pPr>
    </w:p>
    <w:p w14:paraId="0947E89F" w14:textId="77777777" w:rsidR="0021277E" w:rsidRPr="0021277E" w:rsidRDefault="0021277E" w:rsidP="0021277E">
      <w:pPr>
        <w:jc w:val="both"/>
        <w:rPr>
          <w:rFonts w:ascii="Times New Roman" w:hAnsi="Times New Roman" w:cs="Times New Roman"/>
          <w:sz w:val="24"/>
          <w:szCs w:val="24"/>
          <w:lang w:bidi="en-GB"/>
        </w:rPr>
      </w:pPr>
    </w:p>
    <w:p w14:paraId="26B3CF64" w14:textId="77777777" w:rsidR="0021277E" w:rsidRPr="0021277E" w:rsidRDefault="0021277E" w:rsidP="0021277E">
      <w:pPr>
        <w:jc w:val="both"/>
        <w:rPr>
          <w:rFonts w:ascii="Times New Roman" w:hAnsi="Times New Roman" w:cs="Times New Roman"/>
          <w:sz w:val="24"/>
          <w:szCs w:val="24"/>
          <w:lang w:bidi="en-GB"/>
        </w:rPr>
      </w:pPr>
    </w:p>
    <w:p w14:paraId="5B27E892" w14:textId="77777777" w:rsidR="0021277E" w:rsidRPr="0021277E" w:rsidRDefault="0021277E" w:rsidP="0021277E">
      <w:pPr>
        <w:jc w:val="both"/>
        <w:rPr>
          <w:rFonts w:ascii="Times New Roman" w:hAnsi="Times New Roman" w:cs="Times New Roman"/>
          <w:sz w:val="24"/>
          <w:szCs w:val="24"/>
          <w:lang w:bidi="en-GB"/>
        </w:rPr>
      </w:pPr>
    </w:p>
    <w:p w14:paraId="2512208D" w14:textId="77777777" w:rsidR="0021277E" w:rsidRPr="0021277E" w:rsidRDefault="0021277E" w:rsidP="0021277E">
      <w:pPr>
        <w:jc w:val="both"/>
        <w:rPr>
          <w:rFonts w:ascii="Times New Roman" w:hAnsi="Times New Roman" w:cs="Times New Roman"/>
          <w:sz w:val="24"/>
          <w:szCs w:val="24"/>
          <w:lang w:bidi="en-GB"/>
        </w:rPr>
      </w:pPr>
    </w:p>
    <w:p w14:paraId="43779032" w14:textId="77777777" w:rsidR="0021277E" w:rsidRPr="0021277E" w:rsidRDefault="0021277E" w:rsidP="0021277E">
      <w:pPr>
        <w:jc w:val="both"/>
        <w:rPr>
          <w:rFonts w:ascii="Times New Roman" w:hAnsi="Times New Roman" w:cs="Times New Roman"/>
          <w:sz w:val="24"/>
          <w:szCs w:val="24"/>
          <w:lang w:bidi="en-GB"/>
        </w:rPr>
      </w:pPr>
    </w:p>
    <w:p w14:paraId="5CE3B93C" w14:textId="77777777" w:rsidR="0021277E" w:rsidRPr="0021277E" w:rsidRDefault="0021277E" w:rsidP="0021277E">
      <w:pPr>
        <w:jc w:val="both"/>
        <w:rPr>
          <w:rFonts w:ascii="Times New Roman" w:hAnsi="Times New Roman" w:cs="Times New Roman"/>
          <w:sz w:val="24"/>
          <w:szCs w:val="24"/>
          <w:lang w:bidi="en-GB"/>
        </w:rPr>
      </w:pPr>
    </w:p>
    <w:p w14:paraId="2746224B" w14:textId="77777777" w:rsidR="0021277E" w:rsidRPr="0021277E" w:rsidRDefault="0021277E" w:rsidP="0021277E">
      <w:pPr>
        <w:jc w:val="both"/>
        <w:rPr>
          <w:rFonts w:ascii="Times New Roman" w:hAnsi="Times New Roman" w:cs="Times New Roman"/>
          <w:sz w:val="24"/>
          <w:szCs w:val="24"/>
          <w:lang w:bidi="en-GB"/>
        </w:rPr>
      </w:pPr>
    </w:p>
    <w:p w14:paraId="489E5583" w14:textId="77777777" w:rsidR="0021277E" w:rsidRPr="0021277E" w:rsidRDefault="0021277E" w:rsidP="0021277E">
      <w:pPr>
        <w:jc w:val="both"/>
        <w:rPr>
          <w:rFonts w:ascii="Times New Roman" w:hAnsi="Times New Roman" w:cs="Times New Roman"/>
          <w:sz w:val="24"/>
          <w:szCs w:val="24"/>
          <w:lang w:bidi="en-GB"/>
        </w:rPr>
      </w:pPr>
    </w:p>
    <w:p w14:paraId="7D435A41" w14:textId="77777777" w:rsidR="0021277E" w:rsidRPr="0021277E" w:rsidRDefault="0021277E" w:rsidP="0021277E">
      <w:pPr>
        <w:jc w:val="both"/>
        <w:rPr>
          <w:rFonts w:ascii="Times New Roman" w:hAnsi="Times New Roman" w:cs="Times New Roman"/>
          <w:sz w:val="24"/>
          <w:szCs w:val="24"/>
          <w:lang w:bidi="en-GB"/>
        </w:rPr>
      </w:pPr>
    </w:p>
    <w:p w14:paraId="1BEA5D63" w14:textId="77777777" w:rsidR="0021277E" w:rsidRPr="0021277E" w:rsidRDefault="0021277E" w:rsidP="0021277E">
      <w:pPr>
        <w:jc w:val="both"/>
        <w:rPr>
          <w:rFonts w:ascii="Times New Roman" w:hAnsi="Times New Roman" w:cs="Times New Roman"/>
          <w:sz w:val="24"/>
          <w:szCs w:val="24"/>
          <w:lang w:bidi="en-GB"/>
        </w:rPr>
      </w:pPr>
    </w:p>
    <w:p w14:paraId="090D567E" w14:textId="77777777" w:rsidR="0021277E" w:rsidRPr="0021277E" w:rsidRDefault="0021277E" w:rsidP="0021277E">
      <w:pPr>
        <w:jc w:val="both"/>
        <w:rPr>
          <w:rFonts w:ascii="Times New Roman" w:hAnsi="Times New Roman" w:cs="Times New Roman"/>
          <w:sz w:val="24"/>
          <w:szCs w:val="24"/>
          <w:lang w:bidi="en-GB"/>
        </w:rPr>
      </w:pPr>
    </w:p>
    <w:p w14:paraId="5FBBC3BD" w14:textId="77777777" w:rsidR="0021277E" w:rsidRPr="0021277E" w:rsidRDefault="0021277E" w:rsidP="0021277E">
      <w:pPr>
        <w:jc w:val="both"/>
        <w:rPr>
          <w:rFonts w:ascii="Times New Roman" w:hAnsi="Times New Roman" w:cs="Times New Roman"/>
          <w:sz w:val="24"/>
          <w:szCs w:val="24"/>
          <w:lang w:bidi="en-GB"/>
        </w:rPr>
      </w:pPr>
    </w:p>
    <w:p w14:paraId="681B91F9" w14:textId="77777777" w:rsidR="00692561" w:rsidRPr="00407108" w:rsidRDefault="00692561" w:rsidP="00DA52AA">
      <w:pPr>
        <w:jc w:val="both"/>
        <w:rPr>
          <w:rFonts w:ascii="Times New Roman" w:hAnsi="Times New Roman" w:cs="Times New Roman"/>
          <w:sz w:val="24"/>
          <w:szCs w:val="24"/>
        </w:rPr>
      </w:pPr>
    </w:p>
    <w:p w14:paraId="577D7C9A" w14:textId="77777777" w:rsidR="00BC50E8" w:rsidRPr="00407108" w:rsidRDefault="00BC50E8" w:rsidP="00DA52AA">
      <w:pPr>
        <w:jc w:val="both"/>
        <w:rPr>
          <w:rFonts w:ascii="Times New Roman" w:hAnsi="Times New Roman" w:cs="Times New Roman"/>
          <w:sz w:val="24"/>
          <w:szCs w:val="24"/>
        </w:rPr>
      </w:pPr>
    </w:p>
    <w:p w14:paraId="2AF8B895" w14:textId="7706871D" w:rsidR="007403ED" w:rsidRPr="00407108" w:rsidRDefault="003C4D33" w:rsidP="005E6AD7">
      <w:pPr>
        <w:pStyle w:val="Naslov1"/>
      </w:pPr>
      <w:bookmarkStart w:id="21" w:name="_Toc193796439"/>
      <w:r w:rsidRPr="00407108">
        <w:lastRenderedPageBreak/>
        <w:t>3</w:t>
      </w:r>
      <w:r w:rsidR="00220DA5" w:rsidRPr="00407108">
        <w:t>. POSEBNI DIO</w:t>
      </w:r>
      <w:bookmarkEnd w:id="21"/>
    </w:p>
    <w:p w14:paraId="750B0BD5" w14:textId="714319C1" w:rsidR="00220DA5" w:rsidRPr="00407108" w:rsidRDefault="003C4D33" w:rsidP="007403ED">
      <w:pPr>
        <w:pStyle w:val="Naslov1"/>
      </w:pPr>
      <w:bookmarkStart w:id="22" w:name="_Toc193796440"/>
      <w:r w:rsidRPr="00407108">
        <w:t>3</w:t>
      </w:r>
      <w:r w:rsidR="00F8553A" w:rsidRPr="00407108">
        <w:t xml:space="preserve">.1. </w:t>
      </w:r>
      <w:r w:rsidR="001B2191" w:rsidRPr="00407108">
        <w:t>I</w:t>
      </w:r>
      <w:r w:rsidRPr="00407108">
        <w:t>ZVJEŠTAJ PO PROGRAMSKOJ KLASIFIKACIJI</w:t>
      </w:r>
      <w:bookmarkEnd w:id="22"/>
    </w:p>
    <w:p w14:paraId="2A10D46D" w14:textId="52D4F3B0" w:rsidR="00C32B4A" w:rsidRPr="00407108" w:rsidRDefault="007572F4" w:rsidP="00DA52AA">
      <w:pPr>
        <w:jc w:val="both"/>
        <w:rPr>
          <w:rFonts w:ascii="Times New Roman" w:hAnsi="Times New Roman" w:cs="Times New Roman"/>
          <w:sz w:val="24"/>
          <w:szCs w:val="24"/>
        </w:rPr>
      </w:pPr>
      <w:r w:rsidRPr="00407108">
        <w:rPr>
          <w:rFonts w:ascii="Times New Roman" w:hAnsi="Times New Roman" w:cs="Times New Roman"/>
          <w:noProof/>
        </w:rPr>
        <w:drawing>
          <wp:inline distT="0" distB="0" distL="0" distR="0" wp14:anchorId="2629B8F3" wp14:editId="13B0A5B8">
            <wp:extent cx="5760720" cy="8413115"/>
            <wp:effectExtent l="0" t="0" r="0" b="6985"/>
            <wp:docPr id="468788749"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8413115"/>
                    </a:xfrm>
                    <a:prstGeom prst="rect">
                      <a:avLst/>
                    </a:prstGeom>
                    <a:noFill/>
                    <a:ln>
                      <a:noFill/>
                    </a:ln>
                  </pic:spPr>
                </pic:pic>
              </a:graphicData>
            </a:graphic>
          </wp:inline>
        </w:drawing>
      </w:r>
    </w:p>
    <w:p w14:paraId="0EC857F5" w14:textId="0F04DF4C" w:rsidR="009446F9" w:rsidRPr="00407108" w:rsidRDefault="003D7F19" w:rsidP="00DA52AA">
      <w:pPr>
        <w:jc w:val="both"/>
        <w:rPr>
          <w:rFonts w:ascii="Times New Roman" w:hAnsi="Times New Roman" w:cs="Times New Roman"/>
          <w:sz w:val="24"/>
          <w:szCs w:val="24"/>
        </w:rPr>
      </w:pPr>
      <w:r w:rsidRPr="00407108">
        <w:rPr>
          <w:rFonts w:ascii="Times New Roman" w:hAnsi="Times New Roman" w:cs="Times New Roman"/>
          <w:noProof/>
        </w:rPr>
        <w:lastRenderedPageBreak/>
        <w:drawing>
          <wp:inline distT="0" distB="0" distL="0" distR="0" wp14:anchorId="76CFFC0B" wp14:editId="69842ED0">
            <wp:extent cx="5530850" cy="8892540"/>
            <wp:effectExtent l="0" t="0" r="0" b="3810"/>
            <wp:docPr id="1194728985"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0850" cy="8892540"/>
                    </a:xfrm>
                    <a:prstGeom prst="rect">
                      <a:avLst/>
                    </a:prstGeom>
                    <a:noFill/>
                    <a:ln>
                      <a:noFill/>
                    </a:ln>
                  </pic:spPr>
                </pic:pic>
              </a:graphicData>
            </a:graphic>
          </wp:inline>
        </w:drawing>
      </w:r>
    </w:p>
    <w:p w14:paraId="497FDD5F" w14:textId="2BAF9CA0" w:rsidR="003D7F19" w:rsidRPr="00407108" w:rsidRDefault="003D7F19" w:rsidP="00DA52AA">
      <w:pPr>
        <w:jc w:val="both"/>
        <w:rPr>
          <w:rFonts w:ascii="Times New Roman" w:hAnsi="Times New Roman" w:cs="Times New Roman"/>
          <w:sz w:val="24"/>
          <w:szCs w:val="24"/>
        </w:rPr>
      </w:pPr>
      <w:r w:rsidRPr="00407108">
        <w:rPr>
          <w:rFonts w:ascii="Times New Roman" w:hAnsi="Times New Roman" w:cs="Times New Roman"/>
          <w:noProof/>
        </w:rPr>
        <w:lastRenderedPageBreak/>
        <w:drawing>
          <wp:inline distT="0" distB="0" distL="0" distR="0" wp14:anchorId="1FEAB17A" wp14:editId="418203A1">
            <wp:extent cx="5760720" cy="6167755"/>
            <wp:effectExtent l="0" t="0" r="0" b="4445"/>
            <wp:docPr id="1497241891"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6167755"/>
                    </a:xfrm>
                    <a:prstGeom prst="rect">
                      <a:avLst/>
                    </a:prstGeom>
                    <a:noFill/>
                    <a:ln>
                      <a:noFill/>
                    </a:ln>
                  </pic:spPr>
                </pic:pic>
              </a:graphicData>
            </a:graphic>
          </wp:inline>
        </w:drawing>
      </w:r>
    </w:p>
    <w:p w14:paraId="71ABE7E7" w14:textId="77777777" w:rsidR="007572F4" w:rsidRPr="00407108" w:rsidRDefault="007572F4" w:rsidP="00DA52AA">
      <w:pPr>
        <w:jc w:val="both"/>
        <w:rPr>
          <w:rFonts w:ascii="Times New Roman" w:hAnsi="Times New Roman" w:cs="Times New Roman"/>
          <w:sz w:val="24"/>
          <w:szCs w:val="24"/>
        </w:rPr>
      </w:pPr>
    </w:p>
    <w:p w14:paraId="0B6CE904" w14:textId="77777777" w:rsidR="007572F4" w:rsidRPr="00407108" w:rsidRDefault="007572F4" w:rsidP="00DA52AA">
      <w:pPr>
        <w:jc w:val="both"/>
        <w:rPr>
          <w:rFonts w:ascii="Times New Roman" w:hAnsi="Times New Roman" w:cs="Times New Roman"/>
          <w:sz w:val="24"/>
          <w:szCs w:val="24"/>
        </w:rPr>
      </w:pPr>
    </w:p>
    <w:p w14:paraId="64EC902C" w14:textId="77777777" w:rsidR="007572F4" w:rsidRPr="00407108" w:rsidRDefault="007572F4" w:rsidP="00DA52AA">
      <w:pPr>
        <w:jc w:val="both"/>
        <w:rPr>
          <w:rFonts w:ascii="Times New Roman" w:hAnsi="Times New Roman" w:cs="Times New Roman"/>
          <w:sz w:val="24"/>
          <w:szCs w:val="24"/>
        </w:rPr>
      </w:pPr>
    </w:p>
    <w:p w14:paraId="17D363CF" w14:textId="77777777" w:rsidR="007572F4" w:rsidRPr="00407108" w:rsidRDefault="007572F4" w:rsidP="00DA52AA">
      <w:pPr>
        <w:jc w:val="both"/>
        <w:rPr>
          <w:rFonts w:ascii="Times New Roman" w:hAnsi="Times New Roman" w:cs="Times New Roman"/>
          <w:sz w:val="24"/>
          <w:szCs w:val="24"/>
        </w:rPr>
      </w:pPr>
    </w:p>
    <w:p w14:paraId="439A7BF8" w14:textId="77777777" w:rsidR="007572F4" w:rsidRPr="00407108" w:rsidRDefault="007572F4" w:rsidP="00DA52AA">
      <w:pPr>
        <w:jc w:val="both"/>
        <w:rPr>
          <w:rFonts w:ascii="Times New Roman" w:hAnsi="Times New Roman" w:cs="Times New Roman"/>
          <w:sz w:val="24"/>
          <w:szCs w:val="24"/>
        </w:rPr>
      </w:pPr>
    </w:p>
    <w:p w14:paraId="0A98D9EE" w14:textId="77777777" w:rsidR="007572F4" w:rsidRPr="00407108" w:rsidRDefault="007572F4" w:rsidP="00DA52AA">
      <w:pPr>
        <w:jc w:val="both"/>
        <w:rPr>
          <w:rFonts w:ascii="Times New Roman" w:hAnsi="Times New Roman" w:cs="Times New Roman"/>
          <w:sz w:val="24"/>
          <w:szCs w:val="24"/>
        </w:rPr>
      </w:pPr>
    </w:p>
    <w:p w14:paraId="74499478" w14:textId="77777777" w:rsidR="007572F4" w:rsidRPr="00407108" w:rsidRDefault="007572F4" w:rsidP="00DA52AA">
      <w:pPr>
        <w:jc w:val="both"/>
        <w:rPr>
          <w:rFonts w:ascii="Times New Roman" w:hAnsi="Times New Roman" w:cs="Times New Roman"/>
          <w:sz w:val="24"/>
          <w:szCs w:val="24"/>
        </w:rPr>
      </w:pPr>
    </w:p>
    <w:p w14:paraId="60AA665C" w14:textId="77777777" w:rsidR="007572F4" w:rsidRPr="00407108" w:rsidRDefault="007572F4" w:rsidP="00DA52AA">
      <w:pPr>
        <w:jc w:val="both"/>
        <w:rPr>
          <w:rFonts w:ascii="Times New Roman" w:hAnsi="Times New Roman" w:cs="Times New Roman"/>
          <w:sz w:val="24"/>
          <w:szCs w:val="24"/>
        </w:rPr>
      </w:pPr>
    </w:p>
    <w:p w14:paraId="1865A330" w14:textId="77777777" w:rsidR="007572F4" w:rsidRPr="00407108" w:rsidRDefault="007572F4" w:rsidP="00DA52AA">
      <w:pPr>
        <w:jc w:val="both"/>
        <w:rPr>
          <w:rFonts w:ascii="Times New Roman" w:hAnsi="Times New Roman" w:cs="Times New Roman"/>
          <w:sz w:val="24"/>
          <w:szCs w:val="24"/>
        </w:rPr>
      </w:pPr>
    </w:p>
    <w:p w14:paraId="3D871AAB" w14:textId="72C474F0" w:rsidR="009446F9" w:rsidRPr="00407108" w:rsidRDefault="003C4D33" w:rsidP="003C4D33">
      <w:pPr>
        <w:pStyle w:val="Naslov1"/>
      </w:pPr>
      <w:bookmarkStart w:id="23" w:name="_Toc193796441"/>
      <w:r w:rsidRPr="00407108">
        <w:lastRenderedPageBreak/>
        <w:t xml:space="preserve">3.2. </w:t>
      </w:r>
      <w:r w:rsidR="00987C78" w:rsidRPr="00407108">
        <w:t>OBRAZLOŽENJE POSEBNOG DIJELA</w:t>
      </w:r>
      <w:bookmarkEnd w:id="23"/>
    </w:p>
    <w:p w14:paraId="734193C3" w14:textId="77777777" w:rsidR="00987C78" w:rsidRPr="00407108" w:rsidRDefault="00987C78" w:rsidP="00987C78">
      <w:pPr>
        <w:pStyle w:val="Naslov1"/>
        <w:ind w:left="0"/>
      </w:pPr>
    </w:p>
    <w:p w14:paraId="42CBBA8C"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p>
    <w:p w14:paraId="1CC07696" w14:textId="77777777" w:rsidR="00E00F21" w:rsidRPr="00E00F21" w:rsidRDefault="00E00F21" w:rsidP="00E00F21">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rPr>
      </w:pPr>
      <w:r w:rsidRPr="00E00F21">
        <w:rPr>
          <w:rFonts w:ascii="Times New Roman" w:eastAsia="Times New Roman" w:hAnsi="Times New Roman" w:cs="Times New Roman"/>
          <w:b/>
          <w:iCs/>
          <w:spacing w:val="20"/>
          <w:sz w:val="28"/>
          <w:szCs w:val="28"/>
        </w:rPr>
        <w:t>51263 Javna ustanova Lučka uprava Slavonski Brod</w:t>
      </w:r>
    </w:p>
    <w:p w14:paraId="1E921749"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Lučka uprava Slavonski Brod je javna ustanova koju je osnovala Republika Hrvatska na temelju odredbi Zakona o lukama unutarnjih voda 2001. godine. Obavljanje djelatnosti uređeno je temeljem Zakona o plovidbi i lukama unutarnjih voda i Uredbe o upravljanju i vođenju poslova lučkih uprava unutarnjih voda.    </w:t>
      </w:r>
    </w:p>
    <w:p w14:paraId="6594073C"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Javna ustanova Lučka uprava Slavonski Brod obavlja poslove izgradnje, modernizacije i održavanja lučkih građevina u ime Republike Hrvatske, upravlja nekretninama na lučkom području na kojima ima pravo građenja, održava red u luci, održava visoki stupanj sigurnosti i zaštite okoliša u luci i druge poslove iz svoje nadležnosti.</w:t>
      </w:r>
    </w:p>
    <w:tbl>
      <w:tblPr>
        <w:tblStyle w:val="StilTablice"/>
        <w:tblW w:w="10206" w:type="dxa"/>
        <w:jc w:val="center"/>
        <w:tblLook w:val="04A0" w:firstRow="1" w:lastRow="0" w:firstColumn="1" w:lastColumn="0" w:noHBand="0" w:noVBand="1"/>
      </w:tblPr>
      <w:tblGrid>
        <w:gridCol w:w="1815"/>
        <w:gridCol w:w="1987"/>
        <w:gridCol w:w="1987"/>
        <w:gridCol w:w="1988"/>
        <w:gridCol w:w="1212"/>
        <w:gridCol w:w="1217"/>
      </w:tblGrid>
      <w:tr w:rsidR="00E00F21" w:rsidRPr="00E00F21" w14:paraId="6A34A853" w14:textId="77777777" w:rsidTr="00A22AB0">
        <w:trPr>
          <w:jc w:val="center"/>
        </w:trPr>
        <w:tc>
          <w:tcPr>
            <w:tcW w:w="1632" w:type="dxa"/>
            <w:shd w:val="clear" w:color="auto" w:fill="B5C0D8"/>
          </w:tcPr>
          <w:p w14:paraId="7AE6801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p>
        </w:tc>
        <w:tc>
          <w:tcPr>
            <w:tcW w:w="2041" w:type="dxa"/>
            <w:shd w:val="clear" w:color="auto" w:fill="B5C0D8"/>
          </w:tcPr>
          <w:p w14:paraId="77CC860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7C3FE4F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3A3F806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312E54A0"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59714A1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2BE45D31" w14:textId="77777777" w:rsidTr="00A22AB0">
        <w:trPr>
          <w:jc w:val="center"/>
        </w:trPr>
        <w:tc>
          <w:tcPr>
            <w:tcW w:w="1632" w:type="dxa"/>
          </w:tcPr>
          <w:p w14:paraId="012A730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51263-Javna ustanova Lučka uprava Slavonski Brod</w:t>
            </w:r>
          </w:p>
        </w:tc>
        <w:tc>
          <w:tcPr>
            <w:tcW w:w="2041" w:type="dxa"/>
          </w:tcPr>
          <w:p w14:paraId="548BF5E9"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4.986.104</w:t>
            </w:r>
          </w:p>
        </w:tc>
        <w:tc>
          <w:tcPr>
            <w:tcW w:w="2041" w:type="dxa"/>
          </w:tcPr>
          <w:p w14:paraId="1865DD1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9.086.971</w:t>
            </w:r>
          </w:p>
        </w:tc>
        <w:tc>
          <w:tcPr>
            <w:tcW w:w="2041" w:type="dxa"/>
          </w:tcPr>
          <w:p w14:paraId="16DF7A7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5.858.713</w:t>
            </w:r>
          </w:p>
        </w:tc>
        <w:tc>
          <w:tcPr>
            <w:tcW w:w="1224" w:type="dxa"/>
          </w:tcPr>
          <w:p w14:paraId="16693F02"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64,5</w:t>
            </w:r>
          </w:p>
        </w:tc>
        <w:tc>
          <w:tcPr>
            <w:tcW w:w="1224" w:type="dxa"/>
          </w:tcPr>
          <w:p w14:paraId="5EA2F02A"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117,5</w:t>
            </w:r>
          </w:p>
        </w:tc>
      </w:tr>
      <w:tr w:rsidR="00E00F21" w:rsidRPr="00E00F21" w14:paraId="28ABAA86" w14:textId="77777777" w:rsidTr="00A22AB0">
        <w:trPr>
          <w:jc w:val="center"/>
        </w:trPr>
        <w:tc>
          <w:tcPr>
            <w:tcW w:w="1632" w:type="dxa"/>
          </w:tcPr>
          <w:p w14:paraId="72D7E3C9"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3111-PRIPREMA I PROVEDBA PROJEKATA SUFINANCIRANIH SREDSTVIMA FONDOVA EU</w:t>
            </w:r>
          </w:p>
        </w:tc>
        <w:tc>
          <w:tcPr>
            <w:tcW w:w="2041" w:type="dxa"/>
          </w:tcPr>
          <w:p w14:paraId="5F4A7EB1"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00</w:t>
            </w:r>
          </w:p>
        </w:tc>
        <w:tc>
          <w:tcPr>
            <w:tcW w:w="2041" w:type="dxa"/>
          </w:tcPr>
          <w:p w14:paraId="47EB4310"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2.216.843</w:t>
            </w:r>
          </w:p>
        </w:tc>
        <w:tc>
          <w:tcPr>
            <w:tcW w:w="2041" w:type="dxa"/>
          </w:tcPr>
          <w:p w14:paraId="277892D5"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00</w:t>
            </w:r>
          </w:p>
        </w:tc>
        <w:tc>
          <w:tcPr>
            <w:tcW w:w="1224" w:type="dxa"/>
          </w:tcPr>
          <w:p w14:paraId="57A5BCEF"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0,0</w:t>
            </w:r>
          </w:p>
        </w:tc>
        <w:tc>
          <w:tcPr>
            <w:tcW w:w="1224" w:type="dxa"/>
          </w:tcPr>
          <w:p w14:paraId="0C4E0893"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0,0</w:t>
            </w:r>
          </w:p>
        </w:tc>
      </w:tr>
      <w:tr w:rsidR="00E00F21" w:rsidRPr="00E00F21" w14:paraId="0906DF06" w14:textId="77777777" w:rsidTr="00A22AB0">
        <w:trPr>
          <w:jc w:val="center"/>
        </w:trPr>
        <w:tc>
          <w:tcPr>
            <w:tcW w:w="1632" w:type="dxa"/>
          </w:tcPr>
          <w:p w14:paraId="5CB99638"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3115-RAZVOJ UNUTARNJE PLOVIDBE</w:t>
            </w:r>
          </w:p>
        </w:tc>
        <w:tc>
          <w:tcPr>
            <w:tcW w:w="2041" w:type="dxa"/>
          </w:tcPr>
          <w:p w14:paraId="56C4BD61"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4.986.104</w:t>
            </w:r>
          </w:p>
        </w:tc>
        <w:tc>
          <w:tcPr>
            <w:tcW w:w="2041" w:type="dxa"/>
          </w:tcPr>
          <w:p w14:paraId="54A226AD"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6.870.128</w:t>
            </w:r>
          </w:p>
        </w:tc>
        <w:tc>
          <w:tcPr>
            <w:tcW w:w="2041" w:type="dxa"/>
          </w:tcPr>
          <w:p w14:paraId="6BB29F06"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5.858.713</w:t>
            </w:r>
          </w:p>
        </w:tc>
        <w:tc>
          <w:tcPr>
            <w:tcW w:w="1224" w:type="dxa"/>
          </w:tcPr>
          <w:p w14:paraId="3E8BA3C3"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85,3</w:t>
            </w:r>
          </w:p>
        </w:tc>
        <w:tc>
          <w:tcPr>
            <w:tcW w:w="1224" w:type="dxa"/>
          </w:tcPr>
          <w:p w14:paraId="0E164FFA" w14:textId="77777777" w:rsidR="00E00F21" w:rsidRPr="00E00F21" w:rsidRDefault="00E00F21" w:rsidP="00E00F21">
            <w:pPr>
              <w:overflowPunct w:val="0"/>
              <w:autoSpaceDE w:val="0"/>
              <w:autoSpaceDN w:val="0"/>
              <w:adjustRightInd w:val="0"/>
              <w:jc w:val="right"/>
              <w:textAlignment w:val="baseline"/>
              <w:rPr>
                <w:rFonts w:eastAsia="Times New Roman" w:cs="Times New Roman"/>
                <w:szCs w:val="20"/>
              </w:rPr>
            </w:pPr>
            <w:r w:rsidRPr="00E00F21">
              <w:rPr>
                <w:rFonts w:eastAsia="Times New Roman" w:cs="Times New Roman"/>
                <w:szCs w:val="20"/>
              </w:rPr>
              <w:t>117,5</w:t>
            </w:r>
          </w:p>
        </w:tc>
      </w:tr>
    </w:tbl>
    <w:p w14:paraId="67A69B4E"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7DA0ED07" w14:textId="77777777" w:rsidR="00E00F21" w:rsidRPr="00E00F21" w:rsidRDefault="00E00F21" w:rsidP="00E00F21">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rPr>
      </w:pPr>
      <w:r w:rsidRPr="00E00F21">
        <w:rPr>
          <w:rFonts w:ascii="Times New Roman" w:eastAsia="Times New Roman" w:hAnsi="Times New Roman" w:cs="Times New Roman"/>
          <w:b/>
          <w:iCs/>
          <w:spacing w:val="20"/>
          <w:sz w:val="28"/>
          <w:szCs w:val="28"/>
        </w:rPr>
        <w:t>3111 PRIPREMA I PROVEDBA PROJEKATA SUFINANCIRANIH SREDSTVIMA FONDOVA EU</w:t>
      </w:r>
    </w:p>
    <w:tbl>
      <w:tblPr>
        <w:tblStyle w:val="StilTablice"/>
        <w:tblW w:w="10206" w:type="dxa"/>
        <w:jc w:val="center"/>
        <w:tblLook w:val="04A0" w:firstRow="1" w:lastRow="0" w:firstColumn="1" w:lastColumn="0" w:noHBand="0" w:noVBand="1"/>
      </w:tblPr>
      <w:tblGrid>
        <w:gridCol w:w="1816"/>
        <w:gridCol w:w="1986"/>
        <w:gridCol w:w="1989"/>
        <w:gridCol w:w="1986"/>
        <w:gridCol w:w="1212"/>
        <w:gridCol w:w="1217"/>
      </w:tblGrid>
      <w:tr w:rsidR="00E00F21" w:rsidRPr="00E00F21" w14:paraId="008D8E85" w14:textId="77777777" w:rsidTr="00A22AB0">
        <w:trPr>
          <w:jc w:val="center"/>
        </w:trPr>
        <w:tc>
          <w:tcPr>
            <w:tcW w:w="1632" w:type="dxa"/>
            <w:shd w:val="clear" w:color="auto" w:fill="B5C0D8"/>
          </w:tcPr>
          <w:p w14:paraId="21B222C0" w14:textId="77777777" w:rsidR="00E00F21" w:rsidRPr="00E00F21" w:rsidRDefault="00E00F21" w:rsidP="00E00F21">
            <w:pPr>
              <w:overflowPunct w:val="0"/>
              <w:autoSpaceDE w:val="0"/>
              <w:autoSpaceDN w:val="0"/>
              <w:adjustRightInd w:val="0"/>
              <w:jc w:val="both"/>
              <w:textAlignment w:val="baseline"/>
              <w:rPr>
                <w:rFonts w:eastAsia="Times New Roman" w:cs="Arial"/>
                <w:bCs/>
                <w:lang w:eastAsia="hr-HR"/>
              </w:rPr>
            </w:pPr>
          </w:p>
        </w:tc>
        <w:tc>
          <w:tcPr>
            <w:tcW w:w="2041" w:type="dxa"/>
            <w:shd w:val="clear" w:color="auto" w:fill="B5C0D8"/>
          </w:tcPr>
          <w:p w14:paraId="49EBE74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7A15871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26EC121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497FA226"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407C6DD0"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Index izvršenje 2024./2023.</w:t>
            </w:r>
          </w:p>
        </w:tc>
      </w:tr>
      <w:tr w:rsidR="00E00F21" w:rsidRPr="00E00F21" w14:paraId="1915789E" w14:textId="77777777" w:rsidTr="00A22AB0">
        <w:trPr>
          <w:jc w:val="center"/>
        </w:trPr>
        <w:tc>
          <w:tcPr>
            <w:tcW w:w="1632" w:type="dxa"/>
          </w:tcPr>
          <w:p w14:paraId="51A14282"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3111-PRIPREMA I PROVEDBA PROJEKATA SUFINANCIRANIH SREDSTVIMA FONDOVA EU</w:t>
            </w:r>
          </w:p>
        </w:tc>
        <w:tc>
          <w:tcPr>
            <w:tcW w:w="2041" w:type="dxa"/>
          </w:tcPr>
          <w:p w14:paraId="328145ED"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2041" w:type="dxa"/>
          </w:tcPr>
          <w:p w14:paraId="24646C1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2.216.843</w:t>
            </w:r>
          </w:p>
        </w:tc>
        <w:tc>
          <w:tcPr>
            <w:tcW w:w="2041" w:type="dxa"/>
          </w:tcPr>
          <w:p w14:paraId="3B9383C6"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1224" w:type="dxa"/>
          </w:tcPr>
          <w:p w14:paraId="25331F78"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1224" w:type="dxa"/>
          </w:tcPr>
          <w:p w14:paraId="354AFE95"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r>
    </w:tbl>
    <w:p w14:paraId="67C0FABF"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716057D0"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lastRenderedPageBreak/>
        <w:t>Cilj 1. Uspješna priprema i praćenje provedbe projekata sufinanciranih sredstvima fondova EU</w:t>
      </w:r>
    </w:p>
    <w:p w14:paraId="1815AC05"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provedbe cilja programa</w:t>
      </w:r>
    </w:p>
    <w:p w14:paraId="1274ED32"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52B2B874" w14:textId="77777777" w:rsidTr="00A22AB0">
        <w:trPr>
          <w:jc w:val="center"/>
        </w:trPr>
        <w:tc>
          <w:tcPr>
            <w:tcW w:w="2551" w:type="dxa"/>
            <w:shd w:val="clear" w:color="auto" w:fill="B5C0D8"/>
          </w:tcPr>
          <w:p w14:paraId="2ABC658A"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učinka</w:t>
            </w:r>
          </w:p>
        </w:tc>
        <w:tc>
          <w:tcPr>
            <w:tcW w:w="2551" w:type="dxa"/>
            <w:shd w:val="clear" w:color="auto" w:fill="B5C0D8"/>
          </w:tcPr>
          <w:p w14:paraId="189038D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6FE0BA6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1B5B4999"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1823402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1B60321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546F739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13A6CAAC" w14:textId="77777777" w:rsidTr="00A22AB0">
        <w:trPr>
          <w:jc w:val="center"/>
        </w:trPr>
        <w:tc>
          <w:tcPr>
            <w:tcW w:w="2551" w:type="dxa"/>
          </w:tcPr>
          <w:p w14:paraId="2D5B2E5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Stupanj provođenja projekta sukladno projektnom planu</w:t>
            </w:r>
          </w:p>
        </w:tc>
        <w:tc>
          <w:tcPr>
            <w:tcW w:w="2551" w:type="dxa"/>
          </w:tcPr>
          <w:p w14:paraId="1E0E2856"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Učinkovitost realizacije pripreme projekata sufinanciranih sredstvima EU</w:t>
            </w:r>
          </w:p>
        </w:tc>
        <w:tc>
          <w:tcPr>
            <w:tcW w:w="1020" w:type="dxa"/>
          </w:tcPr>
          <w:p w14:paraId="202E257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w:t>
            </w:r>
          </w:p>
        </w:tc>
        <w:tc>
          <w:tcPr>
            <w:tcW w:w="1020" w:type="dxa"/>
          </w:tcPr>
          <w:p w14:paraId="255FFEE1"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c>
          <w:tcPr>
            <w:tcW w:w="918" w:type="dxa"/>
          </w:tcPr>
          <w:p w14:paraId="6EC1BD80"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198FC772"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40</w:t>
            </w:r>
          </w:p>
        </w:tc>
        <w:tc>
          <w:tcPr>
            <w:tcW w:w="1020" w:type="dxa"/>
          </w:tcPr>
          <w:p w14:paraId="3BE3224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r>
    </w:tbl>
    <w:p w14:paraId="00B9E9E7"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774EE5FB" w14:textId="77777777" w:rsidR="00E00F21" w:rsidRPr="00E00F21" w:rsidRDefault="00E00F21" w:rsidP="00E00F21">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rPr>
      </w:pPr>
      <w:r w:rsidRPr="00E00F21">
        <w:rPr>
          <w:rFonts w:ascii="Times New Roman" w:eastAsia="Times New Roman" w:hAnsi="Times New Roman" w:cs="Times New Roman"/>
          <w:b/>
          <w:bCs/>
          <w:sz w:val="28"/>
          <w:szCs w:val="28"/>
        </w:rPr>
        <w:t>K928006 NPOO - C1.4. R3-I4 OPREMANJE LUKA I PRISTANIŠTA INFRASTRUKTUROM ZA ZBRINJAVANJE OTPADA - LU SL. BROD</w:t>
      </w:r>
    </w:p>
    <w:tbl>
      <w:tblPr>
        <w:tblStyle w:val="StilTablice"/>
        <w:tblW w:w="10206" w:type="dxa"/>
        <w:jc w:val="center"/>
        <w:tblLook w:val="04A0" w:firstRow="1" w:lastRow="0" w:firstColumn="1" w:lastColumn="0" w:noHBand="0" w:noVBand="1"/>
      </w:tblPr>
      <w:tblGrid>
        <w:gridCol w:w="2093"/>
        <w:gridCol w:w="1910"/>
        <w:gridCol w:w="1890"/>
        <w:gridCol w:w="1910"/>
        <w:gridCol w:w="1196"/>
        <w:gridCol w:w="1207"/>
      </w:tblGrid>
      <w:tr w:rsidR="00E00F21" w:rsidRPr="00E00F21" w14:paraId="0075231C" w14:textId="77777777" w:rsidTr="00A22AB0">
        <w:trPr>
          <w:jc w:val="center"/>
        </w:trPr>
        <w:tc>
          <w:tcPr>
            <w:tcW w:w="1632" w:type="dxa"/>
            <w:shd w:val="clear" w:color="auto" w:fill="B5C0D8"/>
          </w:tcPr>
          <w:p w14:paraId="28D9CEB0"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Naziv aktivnosti</w:t>
            </w:r>
          </w:p>
        </w:tc>
        <w:tc>
          <w:tcPr>
            <w:tcW w:w="2041" w:type="dxa"/>
            <w:shd w:val="clear" w:color="auto" w:fill="B5C0D8"/>
          </w:tcPr>
          <w:p w14:paraId="46DB08BC"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5BEAE31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5D17F96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7BC78F6C"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31D62C7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3F2FDDE2" w14:textId="77777777" w:rsidTr="00A22AB0">
        <w:trPr>
          <w:jc w:val="center"/>
        </w:trPr>
        <w:tc>
          <w:tcPr>
            <w:tcW w:w="1632" w:type="dxa"/>
          </w:tcPr>
          <w:p w14:paraId="28D09408"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K928006-NPOO - C1.4. R3-I4 OPREMANJE LUKA I PRISTANIŠTA INFRASTRUKTUROM ZA ZBRINJAVANJE OTPADA - LU SL. BROD</w:t>
            </w:r>
          </w:p>
        </w:tc>
        <w:tc>
          <w:tcPr>
            <w:tcW w:w="2041" w:type="dxa"/>
          </w:tcPr>
          <w:p w14:paraId="64CBCCD9"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2041" w:type="dxa"/>
          </w:tcPr>
          <w:p w14:paraId="797E9348"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88.694</w:t>
            </w:r>
          </w:p>
        </w:tc>
        <w:tc>
          <w:tcPr>
            <w:tcW w:w="2041" w:type="dxa"/>
          </w:tcPr>
          <w:p w14:paraId="07E52FA4"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1224" w:type="dxa"/>
          </w:tcPr>
          <w:p w14:paraId="7E614B11"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1224" w:type="dxa"/>
          </w:tcPr>
          <w:p w14:paraId="7589B69F"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r>
    </w:tbl>
    <w:p w14:paraId="2A600523"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40B1E7FB"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Zakonske i druge pravne osnove</w:t>
      </w:r>
    </w:p>
    <w:p w14:paraId="041D60F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Zakon o plovidbi i lukama unutarnjih voda </w:t>
      </w:r>
    </w:p>
    <w:p w14:paraId="761E13A9"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Uredba EU 2021/241 Europskog parlamenta i Vijeća od 12. veljače 2021. o uspostavi Mehanizma za oporavak i otpornost</w:t>
      </w:r>
    </w:p>
    <w:p w14:paraId="7AE5271D"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aktivnosti</w:t>
      </w:r>
    </w:p>
    <w:p w14:paraId="441A72F4"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Javna ustanova Lučka uprava Slavonski Brod je za potrebe prijave projekta ''Izgradnja terminala za prikupljanje otpada s plovila'' za dodjelu bespovratnih sredstava u ožujku 2023. godine izradila projektni zadatak koji je temelj za daljnji rad na prijavi projekta za dodjelu bespovratnih sredstava.   </w:t>
      </w:r>
    </w:p>
    <w:p w14:paraId="45B8D860"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Izgradnja terminala za prikupljanje otpada s plovila planirana je na lokaciji u mjestu Davor u sklopu izgradnje putničkog pristaništa.   </w:t>
      </w:r>
    </w:p>
    <w:p w14:paraId="5F51BDA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Ishođeno je mišljenje nadležnog Upravnog odjela za graditeljstvo, infrastrukturu i zaštitu okoliša Brodsko – posavske županije o mogućem utjecaju na okoliš planiranog zahvata u kojemu je navedeno da projekt nema bitni i mogući značajan utjecaj na okoliš.  </w:t>
      </w:r>
    </w:p>
    <w:p w14:paraId="5DE4B2C3"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U postupku je priprema objedinjene prijave (Lučka uprava Osijek, Lučka uprava Vukovar i Lučka uprava Slavonski Brod) za dodjelu bespovratnih sredstava u sklopu Nacionalnog plana oporavka i otpornosti.</w:t>
      </w:r>
    </w:p>
    <w:p w14:paraId="29AAC48C"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4BA18A70" w14:textId="77777777" w:rsidTr="00A22AB0">
        <w:trPr>
          <w:jc w:val="center"/>
        </w:trPr>
        <w:tc>
          <w:tcPr>
            <w:tcW w:w="2551" w:type="dxa"/>
            <w:shd w:val="clear" w:color="auto" w:fill="B5C0D8"/>
          </w:tcPr>
          <w:p w14:paraId="1743034E"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rezultata</w:t>
            </w:r>
          </w:p>
        </w:tc>
        <w:tc>
          <w:tcPr>
            <w:tcW w:w="2551" w:type="dxa"/>
            <w:shd w:val="clear" w:color="auto" w:fill="B5C0D8"/>
          </w:tcPr>
          <w:p w14:paraId="00E2960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0FA1C04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4B5AB07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7131E6C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226EE1A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12D334E9"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35A410A1" w14:textId="77777777" w:rsidTr="00A22AB0">
        <w:trPr>
          <w:jc w:val="center"/>
        </w:trPr>
        <w:tc>
          <w:tcPr>
            <w:tcW w:w="2551" w:type="dxa"/>
          </w:tcPr>
          <w:p w14:paraId="0F48C29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Stupanj opremljenosti pristaništa infrastrukturom za zbrinjavanje otpada</w:t>
            </w:r>
          </w:p>
        </w:tc>
        <w:tc>
          <w:tcPr>
            <w:tcW w:w="2551" w:type="dxa"/>
          </w:tcPr>
          <w:p w14:paraId="755D841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Opremanje luka i pristaništa infrastrukturom za zbrinjavanje otpada</w:t>
            </w:r>
          </w:p>
        </w:tc>
        <w:tc>
          <w:tcPr>
            <w:tcW w:w="1020" w:type="dxa"/>
          </w:tcPr>
          <w:p w14:paraId="1FA0C4B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w:t>
            </w:r>
          </w:p>
        </w:tc>
        <w:tc>
          <w:tcPr>
            <w:tcW w:w="1020" w:type="dxa"/>
          </w:tcPr>
          <w:p w14:paraId="75A76509"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c>
          <w:tcPr>
            <w:tcW w:w="1020" w:type="dxa"/>
          </w:tcPr>
          <w:p w14:paraId="31DC1231"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62B2A875"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15</w:t>
            </w:r>
          </w:p>
        </w:tc>
        <w:tc>
          <w:tcPr>
            <w:tcW w:w="1020" w:type="dxa"/>
          </w:tcPr>
          <w:p w14:paraId="7AF5755B"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r>
    </w:tbl>
    <w:p w14:paraId="721ED1F8"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2369FD00" w14:textId="77777777" w:rsidR="00E00F21" w:rsidRPr="00E00F21" w:rsidRDefault="00E00F21" w:rsidP="00E00F21">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rPr>
      </w:pPr>
      <w:r w:rsidRPr="00E00F21">
        <w:rPr>
          <w:rFonts w:ascii="Times New Roman" w:eastAsia="Times New Roman" w:hAnsi="Times New Roman" w:cs="Times New Roman"/>
          <w:b/>
          <w:bCs/>
          <w:sz w:val="28"/>
          <w:szCs w:val="28"/>
        </w:rPr>
        <w:t>K928007 GRADNJA PLUTAJUĆEG OBJEKTA UNUTARNJE PLOVIDBE - PRISTANA U FUNKCIJI TURIZMA I PUTNIČKOG PRISTANIŠTA NA RIJECI SAVI U SLAVONSKOM BRODU - NPOO.C1.6.R1-I1.01-V1.0045</w:t>
      </w:r>
    </w:p>
    <w:tbl>
      <w:tblPr>
        <w:tblStyle w:val="StilTablice"/>
        <w:tblW w:w="10206" w:type="dxa"/>
        <w:jc w:val="center"/>
        <w:tblLook w:val="04A0" w:firstRow="1" w:lastRow="0" w:firstColumn="1" w:lastColumn="0" w:noHBand="0" w:noVBand="1"/>
      </w:tblPr>
      <w:tblGrid>
        <w:gridCol w:w="2263"/>
        <w:gridCol w:w="1411"/>
        <w:gridCol w:w="2042"/>
        <w:gridCol w:w="2042"/>
        <w:gridCol w:w="1224"/>
        <w:gridCol w:w="1224"/>
      </w:tblGrid>
      <w:tr w:rsidR="00E00F21" w:rsidRPr="00E00F21" w14:paraId="665672C7" w14:textId="77777777" w:rsidTr="00E00F21">
        <w:trPr>
          <w:jc w:val="center"/>
        </w:trPr>
        <w:tc>
          <w:tcPr>
            <w:tcW w:w="2263" w:type="dxa"/>
            <w:shd w:val="clear" w:color="auto" w:fill="B5C0D8"/>
          </w:tcPr>
          <w:p w14:paraId="341B9DA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Naziv aktivnosti</w:t>
            </w:r>
          </w:p>
        </w:tc>
        <w:tc>
          <w:tcPr>
            <w:tcW w:w="1411" w:type="dxa"/>
            <w:shd w:val="clear" w:color="auto" w:fill="B5C0D8"/>
          </w:tcPr>
          <w:p w14:paraId="227CC3E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2" w:type="dxa"/>
            <w:shd w:val="clear" w:color="auto" w:fill="B5C0D8"/>
          </w:tcPr>
          <w:p w14:paraId="277518E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2" w:type="dxa"/>
            <w:shd w:val="clear" w:color="auto" w:fill="B5C0D8"/>
          </w:tcPr>
          <w:p w14:paraId="52499D3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6D219A3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3D25987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6C575739" w14:textId="77777777" w:rsidTr="00E00F21">
        <w:trPr>
          <w:jc w:val="center"/>
        </w:trPr>
        <w:tc>
          <w:tcPr>
            <w:tcW w:w="2263" w:type="dxa"/>
          </w:tcPr>
          <w:p w14:paraId="1D7E37E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K928007-GRADNJA PLUTAJUĆEG OBJEKTA UNUTARNJE PLOVIDBE - PRISTANA U FUNKCIJI TURIZMA I PUTNIČKOG PRISTANIŠTA NA RIJECI SAVI U SLAVONSKOM BRODU - NPOO.C1.6.R1-I1.01-V1.0045</w:t>
            </w:r>
          </w:p>
        </w:tc>
        <w:tc>
          <w:tcPr>
            <w:tcW w:w="1411" w:type="dxa"/>
          </w:tcPr>
          <w:p w14:paraId="0E344DB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2042" w:type="dxa"/>
          </w:tcPr>
          <w:p w14:paraId="0795944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2.128.149</w:t>
            </w:r>
          </w:p>
        </w:tc>
        <w:tc>
          <w:tcPr>
            <w:tcW w:w="2042" w:type="dxa"/>
          </w:tcPr>
          <w:p w14:paraId="106585B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1224" w:type="dxa"/>
          </w:tcPr>
          <w:p w14:paraId="21C779E0"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c>
          <w:tcPr>
            <w:tcW w:w="1224" w:type="dxa"/>
          </w:tcPr>
          <w:p w14:paraId="7C9B4948"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0,0</w:t>
            </w:r>
          </w:p>
        </w:tc>
      </w:tr>
    </w:tbl>
    <w:p w14:paraId="6DBA2083"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187E36B5"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Zakonske i druge pravne osnove</w:t>
      </w:r>
    </w:p>
    <w:p w14:paraId="3D056DA2"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Zakon o plovidbi i lukama unutarnjih voda </w:t>
      </w:r>
    </w:p>
    <w:p w14:paraId="144BBC5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Uredba EU 2021/241 Europskog parlamenta i Vijeća od 12. veljače 2021. o uspostavi Mehanizma za oporavak i </w:t>
      </w:r>
      <w:proofErr w:type="spellStart"/>
      <w:r w:rsidRPr="00E00F21">
        <w:rPr>
          <w:rFonts w:ascii="Times New Roman" w:eastAsia="Times New Roman" w:hAnsi="Times New Roman" w:cs="Times New Roman"/>
          <w:szCs w:val="20"/>
        </w:rPr>
        <w:t>otpornos</w:t>
      </w:r>
      <w:proofErr w:type="spellEnd"/>
    </w:p>
    <w:p w14:paraId="38842872"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aktivnosti</w:t>
      </w:r>
    </w:p>
    <w:p w14:paraId="41108005"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Ovim Projektom planirana je izgradnja putničkog pristaništa na rijeci Savi, odnosno rekonstrukcija postojećeg objekta unutarnje plovidbe (tanker teglenice) u pristan za turističku namjenu i gradnja nove </w:t>
      </w:r>
      <w:proofErr w:type="spellStart"/>
      <w:r w:rsidRPr="00E00F21">
        <w:rPr>
          <w:rFonts w:ascii="Times New Roman" w:eastAsia="Times New Roman" w:hAnsi="Times New Roman" w:cs="Times New Roman"/>
          <w:szCs w:val="20"/>
        </w:rPr>
        <w:t>obaloutvrde</w:t>
      </w:r>
      <w:proofErr w:type="spellEnd"/>
      <w:r w:rsidRPr="00E00F21">
        <w:rPr>
          <w:rFonts w:ascii="Times New Roman" w:eastAsia="Times New Roman" w:hAnsi="Times New Roman" w:cs="Times New Roman"/>
          <w:szCs w:val="20"/>
        </w:rPr>
        <w:t xml:space="preserve">, koji zajedno predstavljaju jedinstvenu cjelinu putničkog pristaništa. U 2023. godini proveden je postupak javne nabave i odabran je izvođač radova.  </w:t>
      </w:r>
    </w:p>
    <w:p w14:paraId="310C1B28"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Projekt je u ožujku 2023. godine prijavljen za dodjelu bespovratnih sredstava u sklopu Nacionalnog plana oporavka i otpornosti (Poziv: Regionalna diversifikacija i specijalizacija hrvatskog turizma kroz ulaganja u razvoj turističkih proizvoda visoke dodane vrijednosti - GRUPA 1). U siječnju 2024. godine zaprimljena je obavijest da se projekt nalazi na ''rezervnoj listi'' te da će Lučka uprava Slavonski Brod biti obaviještena ukoliko nastanu okolnosti koje će utjecati na promjenu statusa s pozicije ''rezervne'' liste na poziciju ''prioritetne liste'' i time mogućnost financiranja projekta. Do kraja 2024. godine nije zaprimljena obavijest o promjeni statusa projekta.</w:t>
      </w:r>
    </w:p>
    <w:p w14:paraId="387A911E"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5DA69537" w14:textId="77777777" w:rsidTr="00A22AB0">
        <w:trPr>
          <w:jc w:val="center"/>
        </w:trPr>
        <w:tc>
          <w:tcPr>
            <w:tcW w:w="2551" w:type="dxa"/>
            <w:shd w:val="clear" w:color="auto" w:fill="B5C0D8"/>
          </w:tcPr>
          <w:p w14:paraId="511DFF98"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rezultata</w:t>
            </w:r>
          </w:p>
        </w:tc>
        <w:tc>
          <w:tcPr>
            <w:tcW w:w="2551" w:type="dxa"/>
            <w:shd w:val="clear" w:color="auto" w:fill="B5C0D8"/>
          </w:tcPr>
          <w:p w14:paraId="06E33FF1"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5718AC3C"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68944FA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1CC10CB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3512A2A6"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26F69B0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35CF29FB" w14:textId="77777777" w:rsidTr="00A22AB0">
        <w:trPr>
          <w:jc w:val="center"/>
        </w:trPr>
        <w:tc>
          <w:tcPr>
            <w:tcW w:w="2551" w:type="dxa"/>
          </w:tcPr>
          <w:p w14:paraId="5AB73CD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 xml:space="preserve">Stupanj rekonstrukcije plutajućeg objekta i izgrađenosti </w:t>
            </w:r>
            <w:proofErr w:type="spellStart"/>
            <w:r w:rsidRPr="00E00F21">
              <w:rPr>
                <w:rFonts w:eastAsia="Times New Roman" w:cs="Times New Roman"/>
                <w:bCs/>
                <w:lang w:eastAsia="hr-HR"/>
              </w:rPr>
              <w:t>obaloutvrde</w:t>
            </w:r>
            <w:proofErr w:type="spellEnd"/>
          </w:p>
        </w:tc>
        <w:tc>
          <w:tcPr>
            <w:tcW w:w="2551" w:type="dxa"/>
          </w:tcPr>
          <w:p w14:paraId="42A6DAF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Rekonstrukcija plutajućeg objekta unutarnje plovidbe – pristana u funkciji turizma i putničkog pristaništa na rijeci Savi u Slavonskom Brodu</w:t>
            </w:r>
          </w:p>
        </w:tc>
        <w:tc>
          <w:tcPr>
            <w:tcW w:w="1020" w:type="dxa"/>
          </w:tcPr>
          <w:p w14:paraId="162B89DB"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w:t>
            </w:r>
          </w:p>
        </w:tc>
        <w:tc>
          <w:tcPr>
            <w:tcW w:w="1020" w:type="dxa"/>
          </w:tcPr>
          <w:p w14:paraId="1F5452A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c>
          <w:tcPr>
            <w:tcW w:w="1020" w:type="dxa"/>
          </w:tcPr>
          <w:p w14:paraId="00F39E1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1D03E45E"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50</w:t>
            </w:r>
          </w:p>
        </w:tc>
        <w:tc>
          <w:tcPr>
            <w:tcW w:w="1020" w:type="dxa"/>
          </w:tcPr>
          <w:p w14:paraId="395CBD19"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r>
    </w:tbl>
    <w:p w14:paraId="678A65B0" w14:textId="77777777" w:rsid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6A988CE0"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2A14742C" w14:textId="6DB9808B" w:rsidR="00E00F21" w:rsidRPr="00E00F21" w:rsidRDefault="00E00F21" w:rsidP="00E00F21">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Times New Roman"/>
          <w:b/>
          <w:iCs/>
          <w:spacing w:val="20"/>
          <w:sz w:val="28"/>
          <w:szCs w:val="28"/>
        </w:rPr>
      </w:pPr>
      <w:r w:rsidRPr="00E00F21">
        <w:rPr>
          <w:rFonts w:ascii="Times New Roman" w:eastAsia="Times New Roman" w:hAnsi="Times New Roman" w:cs="Times New Roman"/>
          <w:b/>
          <w:iCs/>
          <w:spacing w:val="20"/>
          <w:sz w:val="28"/>
          <w:szCs w:val="28"/>
        </w:rPr>
        <w:t>3115 RAZVOJ UNUTARNJE PLOVIDBE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00F21" w:rsidRPr="00E00F21" w14:paraId="4899801E" w14:textId="77777777" w:rsidTr="00A22AB0">
        <w:trPr>
          <w:jc w:val="center"/>
        </w:trPr>
        <w:tc>
          <w:tcPr>
            <w:tcW w:w="1632" w:type="dxa"/>
            <w:shd w:val="clear" w:color="auto" w:fill="B5C0D8"/>
          </w:tcPr>
          <w:p w14:paraId="1F5C977C" w14:textId="77777777" w:rsidR="00E00F21" w:rsidRPr="00E00F21" w:rsidRDefault="00E00F21" w:rsidP="00E00F21">
            <w:pPr>
              <w:overflowPunct w:val="0"/>
              <w:autoSpaceDE w:val="0"/>
              <w:autoSpaceDN w:val="0"/>
              <w:adjustRightInd w:val="0"/>
              <w:jc w:val="both"/>
              <w:textAlignment w:val="baseline"/>
              <w:rPr>
                <w:rFonts w:eastAsia="Times New Roman" w:cs="Arial"/>
                <w:bCs/>
                <w:lang w:eastAsia="hr-HR"/>
              </w:rPr>
            </w:pPr>
          </w:p>
        </w:tc>
        <w:tc>
          <w:tcPr>
            <w:tcW w:w="2041" w:type="dxa"/>
            <w:shd w:val="clear" w:color="auto" w:fill="B5C0D8"/>
          </w:tcPr>
          <w:p w14:paraId="3E2C21E0"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3E1C6032"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61A3457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4FADB8C1"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5695B6F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Index izvršenje 2024./2023.</w:t>
            </w:r>
          </w:p>
        </w:tc>
      </w:tr>
      <w:tr w:rsidR="00E00F21" w:rsidRPr="00E00F21" w14:paraId="5E70CB5A" w14:textId="77777777" w:rsidTr="00A22AB0">
        <w:trPr>
          <w:jc w:val="center"/>
        </w:trPr>
        <w:tc>
          <w:tcPr>
            <w:tcW w:w="1632" w:type="dxa"/>
          </w:tcPr>
          <w:p w14:paraId="43D4DCE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3115-RAZVOJ UNUTARNJE PLOVIDBE</w:t>
            </w:r>
          </w:p>
        </w:tc>
        <w:tc>
          <w:tcPr>
            <w:tcW w:w="2041" w:type="dxa"/>
          </w:tcPr>
          <w:p w14:paraId="582C951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4.986.104</w:t>
            </w:r>
          </w:p>
        </w:tc>
        <w:tc>
          <w:tcPr>
            <w:tcW w:w="2041" w:type="dxa"/>
          </w:tcPr>
          <w:p w14:paraId="41606C25"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6.870.128</w:t>
            </w:r>
          </w:p>
        </w:tc>
        <w:tc>
          <w:tcPr>
            <w:tcW w:w="2041" w:type="dxa"/>
          </w:tcPr>
          <w:p w14:paraId="2B21AAA6"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5.858.713</w:t>
            </w:r>
          </w:p>
        </w:tc>
        <w:tc>
          <w:tcPr>
            <w:tcW w:w="1224" w:type="dxa"/>
          </w:tcPr>
          <w:p w14:paraId="459C68AA"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85,3</w:t>
            </w:r>
          </w:p>
        </w:tc>
        <w:tc>
          <w:tcPr>
            <w:tcW w:w="1224" w:type="dxa"/>
          </w:tcPr>
          <w:p w14:paraId="1C680ABE"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117,5</w:t>
            </w:r>
          </w:p>
        </w:tc>
      </w:tr>
    </w:tbl>
    <w:p w14:paraId="28361B9B" w14:textId="77777777" w:rsid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1C717FE6"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3ECDCFF7"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Cilj 1. Razvijen sustav unutarnje plovidbe</w:t>
      </w:r>
    </w:p>
    <w:p w14:paraId="78B01B95"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provedbe cilja programa</w:t>
      </w:r>
    </w:p>
    <w:p w14:paraId="171F0FB4"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Povećanjem izgrađenosti infrastrukture u luci Slavonski Brod stvaraju se preduvjeti za povećanje prometa u luci. Promet obuhvaća prijevoz putnika i pretovar tereta (šljunka, pijeska, šećera, kontejnera i ostale robe). Zbog tržišnih fluktuacija i obustave pretovara sirove nafte došlo je do smanjenja pretovara u luci, stoga je i ostvarena manja ciljana vrijednost za 2024. godinu u odnosu na planiranu.</w:t>
      </w:r>
    </w:p>
    <w:p w14:paraId="1DAA2783" w14:textId="77777777" w:rsid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Pokazatelji učinka</w:t>
      </w:r>
    </w:p>
    <w:p w14:paraId="614F0294"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4C1DAE6B" w14:textId="77777777" w:rsidTr="00A22AB0">
        <w:trPr>
          <w:jc w:val="center"/>
        </w:trPr>
        <w:tc>
          <w:tcPr>
            <w:tcW w:w="2551" w:type="dxa"/>
            <w:shd w:val="clear" w:color="auto" w:fill="B5C0D8"/>
          </w:tcPr>
          <w:p w14:paraId="23BA8C22"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učinka</w:t>
            </w:r>
          </w:p>
        </w:tc>
        <w:tc>
          <w:tcPr>
            <w:tcW w:w="2551" w:type="dxa"/>
            <w:shd w:val="clear" w:color="auto" w:fill="B5C0D8"/>
          </w:tcPr>
          <w:p w14:paraId="469EA907"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4FC73F9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29E0749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22E525F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4BEF14A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2DF932C6"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18F95EF6" w14:textId="77777777" w:rsidTr="00A22AB0">
        <w:trPr>
          <w:jc w:val="center"/>
        </w:trPr>
        <w:tc>
          <w:tcPr>
            <w:tcW w:w="2551" w:type="dxa"/>
          </w:tcPr>
          <w:p w14:paraId="29B92C91"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Povećanje količine prekrcajnog tereta u luci Slavonski Brod</w:t>
            </w:r>
          </w:p>
        </w:tc>
        <w:tc>
          <w:tcPr>
            <w:tcW w:w="2551" w:type="dxa"/>
          </w:tcPr>
          <w:p w14:paraId="3FEF8D8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Ukupna količina prekrcajnog tereta u luci Slavonski Brod</w:t>
            </w:r>
          </w:p>
        </w:tc>
        <w:tc>
          <w:tcPr>
            <w:tcW w:w="1020" w:type="dxa"/>
          </w:tcPr>
          <w:p w14:paraId="6414EECC"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tona</w:t>
            </w:r>
          </w:p>
        </w:tc>
        <w:tc>
          <w:tcPr>
            <w:tcW w:w="1020" w:type="dxa"/>
          </w:tcPr>
          <w:p w14:paraId="1219ECE4"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200.000</w:t>
            </w:r>
          </w:p>
        </w:tc>
        <w:tc>
          <w:tcPr>
            <w:tcW w:w="918" w:type="dxa"/>
          </w:tcPr>
          <w:p w14:paraId="07A1A612"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5F6CBFB4"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220.000</w:t>
            </w:r>
          </w:p>
        </w:tc>
        <w:tc>
          <w:tcPr>
            <w:tcW w:w="1020" w:type="dxa"/>
          </w:tcPr>
          <w:p w14:paraId="6A033AF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154.334</w:t>
            </w:r>
          </w:p>
        </w:tc>
      </w:tr>
    </w:tbl>
    <w:p w14:paraId="31BCBF50" w14:textId="77777777" w:rsid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6624A98D"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31041F87" w14:textId="77777777" w:rsidR="00E00F21" w:rsidRPr="00E00F21" w:rsidRDefault="00E00F21" w:rsidP="00E00F21">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rPr>
      </w:pPr>
      <w:r w:rsidRPr="00E00F21">
        <w:rPr>
          <w:rFonts w:ascii="Times New Roman" w:eastAsia="Times New Roman" w:hAnsi="Times New Roman" w:cs="Times New Roman"/>
          <w:b/>
          <w:bCs/>
          <w:sz w:val="28"/>
          <w:szCs w:val="28"/>
        </w:rPr>
        <w:lastRenderedPageBreak/>
        <w:t>A928001 ADMINISTRACIJA I UPRAVLJANJE</w:t>
      </w:r>
    </w:p>
    <w:tbl>
      <w:tblPr>
        <w:tblStyle w:val="StilTablice"/>
        <w:tblW w:w="10206" w:type="dxa"/>
        <w:jc w:val="center"/>
        <w:tblLook w:val="04A0" w:firstRow="1" w:lastRow="0" w:firstColumn="1" w:lastColumn="0" w:noHBand="0" w:noVBand="1"/>
      </w:tblPr>
      <w:tblGrid>
        <w:gridCol w:w="1792"/>
        <w:gridCol w:w="1995"/>
        <w:gridCol w:w="1992"/>
        <w:gridCol w:w="1995"/>
        <w:gridCol w:w="1214"/>
        <w:gridCol w:w="1218"/>
      </w:tblGrid>
      <w:tr w:rsidR="00E00F21" w:rsidRPr="00E00F21" w14:paraId="6A19716C" w14:textId="77777777" w:rsidTr="00A22AB0">
        <w:trPr>
          <w:jc w:val="center"/>
        </w:trPr>
        <w:tc>
          <w:tcPr>
            <w:tcW w:w="1632" w:type="dxa"/>
            <w:shd w:val="clear" w:color="auto" w:fill="B5C0D8"/>
          </w:tcPr>
          <w:p w14:paraId="063A521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Naziv aktivnosti</w:t>
            </w:r>
          </w:p>
        </w:tc>
        <w:tc>
          <w:tcPr>
            <w:tcW w:w="2041" w:type="dxa"/>
            <w:shd w:val="clear" w:color="auto" w:fill="B5C0D8"/>
          </w:tcPr>
          <w:p w14:paraId="066CF4BC"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1CF58DB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134B6367"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4E3134C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50C3296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5F8C5EE7" w14:textId="77777777" w:rsidTr="00A22AB0">
        <w:trPr>
          <w:jc w:val="center"/>
        </w:trPr>
        <w:tc>
          <w:tcPr>
            <w:tcW w:w="1632" w:type="dxa"/>
          </w:tcPr>
          <w:p w14:paraId="6D211DD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A928001-ADMINISTRACIJA I UPRAVLJANJE</w:t>
            </w:r>
          </w:p>
        </w:tc>
        <w:tc>
          <w:tcPr>
            <w:tcW w:w="2041" w:type="dxa"/>
          </w:tcPr>
          <w:p w14:paraId="2A839B20"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783.533</w:t>
            </w:r>
          </w:p>
        </w:tc>
        <w:tc>
          <w:tcPr>
            <w:tcW w:w="2041" w:type="dxa"/>
          </w:tcPr>
          <w:p w14:paraId="15E2ED9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978.888</w:t>
            </w:r>
          </w:p>
        </w:tc>
        <w:tc>
          <w:tcPr>
            <w:tcW w:w="2041" w:type="dxa"/>
          </w:tcPr>
          <w:p w14:paraId="3DC0D6CD"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870.536</w:t>
            </w:r>
          </w:p>
        </w:tc>
        <w:tc>
          <w:tcPr>
            <w:tcW w:w="1224" w:type="dxa"/>
          </w:tcPr>
          <w:p w14:paraId="29FD4B5E"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88,9</w:t>
            </w:r>
          </w:p>
        </w:tc>
        <w:tc>
          <w:tcPr>
            <w:tcW w:w="1224" w:type="dxa"/>
          </w:tcPr>
          <w:p w14:paraId="75412744"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111,1</w:t>
            </w:r>
          </w:p>
        </w:tc>
      </w:tr>
    </w:tbl>
    <w:p w14:paraId="27219FDB"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4FFE6987"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Zakonske i druge pravne osnove</w:t>
      </w:r>
    </w:p>
    <w:p w14:paraId="6E23392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Zakon o plovidbi i lukama unutarnjih voda   </w:t>
      </w:r>
    </w:p>
    <w:p w14:paraId="5853A61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Zakon o ustanovama   </w:t>
      </w:r>
    </w:p>
    <w:p w14:paraId="1C16B66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Uredba o upravljanju i vođenju poslova lučkih uprava unutarnjih   </w:t>
      </w:r>
    </w:p>
    <w:p w14:paraId="2E60CAFD"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Uredba o pristaništima unutarnjih voda   </w:t>
      </w:r>
    </w:p>
    <w:p w14:paraId="52581484"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Pravilnik o kriterijima za određivanje naknada za koncesije u lukama i pristaništima unutarnjih voda   </w:t>
      </w:r>
    </w:p>
    <w:p w14:paraId="1817E62B"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Pravilnik o tovarištima   </w:t>
      </w:r>
    </w:p>
    <w:p w14:paraId="67E5CDC5"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Pravilnik o organizaciji i sistematizaciji radnih mjesta   </w:t>
      </w:r>
    </w:p>
    <w:p w14:paraId="7613E9B6"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Pravilnik o plaćama, naknadama plaća i drugim novčanim i nenovčanim primicima</w:t>
      </w:r>
    </w:p>
    <w:p w14:paraId="74F9E193"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aktivnosti</w:t>
      </w:r>
    </w:p>
    <w:p w14:paraId="314FCB59"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U okviru aktivnosti Administracija i upravljanje sredstva su utrošena za pokriće rashoda za zaposlene na bazi osam zaposlenih, a utrošeno je 210.727 €. Rashode čine plaće, doprinosi na plaće i ostali rashodi za zaposlene (nagrade, darovi, regres za godišnji odmor, troškovi prehrane radnika i ostali slični rashodi).   </w:t>
      </w:r>
    </w:p>
    <w:p w14:paraId="5D38F46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Također, u okviru ove aktivnosti sredstva su utrošena za materijalne rashode u iznosu 641.726,72 €, a čine ih:    </w:t>
      </w:r>
    </w:p>
    <w:p w14:paraId="6D05739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naknade troškova zaposlenima u iznosu 9.407,60 € (troškovi službenih putovanja i troškovi u vezi sa službenim putovanjem, smještaj, prijevoz i ostali rashodi po službenim putovanjima, naknade troškova prijevoza na posao i s posla te troškovi stručnog usavršavanja zaposlenih)    </w:t>
      </w:r>
    </w:p>
    <w:p w14:paraId="0530C6C5"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rashodi za materijal i energiju u iznosu 11.083,68 € (uredski materijal, materijal za čišćenje i održavanje, energija za pogon motornih vozila, materijal i dijelovi za tekuće i investicijsko održavanje i sitan inventar)    </w:t>
      </w:r>
    </w:p>
    <w:p w14:paraId="3B4635BB"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rashodi za usluge u iznosu 607.480,34 € (usluge telefona, poštarina, usluge tekućeg i investicijskog održavanja, usluge tehničkog održavanja, usluge promidžbe i informiranja, komunalne usluge, zdravstvene i veterinarske usluge, usluge odvjetnika i javnih bilježnika, intelektualne, računalne i ostale usluge)  </w:t>
      </w:r>
    </w:p>
    <w:p w14:paraId="0F880953"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 ostali nespomenuti rashodi poslovanja u iznosu 13.755,10 € (naknade članovima Upravnog vijeća, premije osiguranja imovine i zaposlenih, reprezentacija, članarine, te ostali nespomenuti rashodi)   </w:t>
      </w:r>
    </w:p>
    <w:p w14:paraId="70DA6614"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Ostvareni su i rashodi za nabavu proizvedene dugotrajne imovine (klima uređaja i mobitela) u iznosu 1.840,80 €.</w:t>
      </w:r>
    </w:p>
    <w:p w14:paraId="058AFE90" w14:textId="77777777" w:rsidR="00E00F21" w:rsidRPr="00E00F21" w:rsidRDefault="00E00F21" w:rsidP="00E00F21">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rPr>
      </w:pPr>
      <w:r w:rsidRPr="00E00F21">
        <w:rPr>
          <w:rFonts w:ascii="Times New Roman" w:eastAsia="Times New Roman" w:hAnsi="Times New Roman" w:cs="Times New Roman"/>
          <w:b/>
          <w:bCs/>
          <w:sz w:val="28"/>
          <w:szCs w:val="28"/>
        </w:rPr>
        <w:lastRenderedPageBreak/>
        <w:t>A928002 GRADNJA I ODRŽAVANJE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00F21" w:rsidRPr="00E00F21" w14:paraId="5250E4B3" w14:textId="77777777" w:rsidTr="00A22AB0">
        <w:trPr>
          <w:jc w:val="center"/>
        </w:trPr>
        <w:tc>
          <w:tcPr>
            <w:tcW w:w="1632" w:type="dxa"/>
            <w:shd w:val="clear" w:color="auto" w:fill="B5C0D8"/>
          </w:tcPr>
          <w:p w14:paraId="40548000"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Naziv aktivnosti</w:t>
            </w:r>
          </w:p>
        </w:tc>
        <w:tc>
          <w:tcPr>
            <w:tcW w:w="2041" w:type="dxa"/>
            <w:shd w:val="clear" w:color="auto" w:fill="B5C0D8"/>
          </w:tcPr>
          <w:p w14:paraId="04BF67D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3DFFE698"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1D3E2B3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750D8AB7"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238F7A3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40E5BD49" w14:textId="77777777" w:rsidTr="00A22AB0">
        <w:trPr>
          <w:jc w:val="center"/>
        </w:trPr>
        <w:tc>
          <w:tcPr>
            <w:tcW w:w="1632" w:type="dxa"/>
          </w:tcPr>
          <w:p w14:paraId="04629AD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A928002-GRADNJA I ODRŽAVANJE</w:t>
            </w:r>
          </w:p>
        </w:tc>
        <w:tc>
          <w:tcPr>
            <w:tcW w:w="2041" w:type="dxa"/>
          </w:tcPr>
          <w:p w14:paraId="55DC0971"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3.155.004</w:t>
            </w:r>
          </w:p>
        </w:tc>
        <w:tc>
          <w:tcPr>
            <w:tcW w:w="2041" w:type="dxa"/>
          </w:tcPr>
          <w:p w14:paraId="7563293C"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3.845.723</w:t>
            </w:r>
          </w:p>
        </w:tc>
        <w:tc>
          <w:tcPr>
            <w:tcW w:w="2041" w:type="dxa"/>
          </w:tcPr>
          <w:p w14:paraId="7831E64B"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3.607.489</w:t>
            </w:r>
          </w:p>
        </w:tc>
        <w:tc>
          <w:tcPr>
            <w:tcW w:w="1224" w:type="dxa"/>
          </w:tcPr>
          <w:p w14:paraId="2D5CC30F"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93,8</w:t>
            </w:r>
          </w:p>
        </w:tc>
        <w:tc>
          <w:tcPr>
            <w:tcW w:w="1224" w:type="dxa"/>
          </w:tcPr>
          <w:p w14:paraId="5AB3DB02"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114,3</w:t>
            </w:r>
          </w:p>
        </w:tc>
      </w:tr>
    </w:tbl>
    <w:p w14:paraId="489B6007"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0BBFC377"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Zakonske i druge pravne osnove</w:t>
      </w:r>
    </w:p>
    <w:p w14:paraId="56BA545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Zakon o plovidbi i lukama unutarnjih voda  </w:t>
      </w:r>
    </w:p>
    <w:p w14:paraId="45418815"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Strategija prometnog razvoja Republike Hrvatske 2017-2030, točka 2.7.  </w:t>
      </w:r>
    </w:p>
    <w:p w14:paraId="7E0E739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Uredba o pristaništima unutarnjih voda</w:t>
      </w:r>
    </w:p>
    <w:p w14:paraId="0B75E351"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aktivnosti</w:t>
      </w:r>
    </w:p>
    <w:p w14:paraId="449E646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U okviru ove aktivnosti na usluge tekućeg i investicijskog održavanja utrošeno je 224.861,28 €, što je izvršenje od 93% u odnosu na planirani iznos. Radovi su obuhvaćali košnju, krčenje, čišćenje lučkih prometnica i manipulativnog platoa, održavanje tipskog kontejnera, održavanje videonadzora u luci, te zbrinjavanje neovlašteno deponiranog otpada. Izvodili su se radovi rekonstrukcije krilne i pješačke kapije kontejnerskog terminala, rekonstrukcija manipulativnog platoa na zapadnom dijelu luke, rekonstrukcija manipulativnog platoa sjeverno od zatvorenog skladišta te rekonstrukcija prilaznog puta platou. Radovi rekonstrukcije zatvorenog skladišta uredskog dijela obuhvaćali su sljedeće radove: rekonstrukciju parketa sa brušenjem i lakiranjem, rekonstrukcije namještaja zidnih polica, ormara, stolova, zidova, vrata, led rasvjete te završne soboslikarske i </w:t>
      </w:r>
      <w:proofErr w:type="spellStart"/>
      <w:r w:rsidRPr="00E00F21">
        <w:rPr>
          <w:rFonts w:ascii="Times New Roman" w:eastAsia="Times New Roman" w:hAnsi="Times New Roman" w:cs="Times New Roman"/>
          <w:szCs w:val="20"/>
        </w:rPr>
        <w:t>ličilačke</w:t>
      </w:r>
      <w:proofErr w:type="spellEnd"/>
      <w:r w:rsidRPr="00E00F21">
        <w:rPr>
          <w:rFonts w:ascii="Times New Roman" w:eastAsia="Times New Roman" w:hAnsi="Times New Roman" w:cs="Times New Roman"/>
          <w:szCs w:val="20"/>
        </w:rPr>
        <w:t xml:space="preserve"> radove. Radovi na pruzi su obuhvaćali rekonstrukciju dijela pruge matičnog kolosijeka na lokaciji prilaza lučkom području u cilju sigurnosti željezničkog prometa. Održavanje kolosijeka je obuhvaćalo i radove strojnog krčenja raslinja i stabala sa obje strane kolosijeka te kemijsko tretiranje koridora pruge u cilju sprečavanja širenja vegetacije. Sredstva koja su planirana za usluge tekućeg i investicijskog održavanja utrošena su u nešto manjem iznosu od planiranih jer je dio planiranih sredstava koji je bio namijenjen na čišćenje snijega ostao neutrošen.  </w:t>
      </w:r>
    </w:p>
    <w:p w14:paraId="0B7DC1CC"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Za intelektualne i osobne usluge utrošeno je 80.197,59 €. Utrošeni iznos odnosi se na slijedeće usluge:  </w:t>
      </w:r>
    </w:p>
    <w:p w14:paraId="7280597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usluge vođenja projekta ''Završetak izgradnje osnovne lučke infrastrukture luke Slavonski Brod'' u iznosu 11.437,50 €,   </w:t>
      </w:r>
    </w:p>
    <w:p w14:paraId="40F435F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geodetske usluge u iznosu 21.750,00 €,   </w:t>
      </w:r>
    </w:p>
    <w:p w14:paraId="73C63BFC"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usluge praćenja horizontalnih i vertikalnih pomaka vezova u iznosu 2.654,46 €,  </w:t>
      </w:r>
    </w:p>
    <w:p w14:paraId="16F81FCC"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usluge procjene vrijednosti imovine u iznosu 1.400,00 € ,   </w:t>
      </w:r>
    </w:p>
    <w:p w14:paraId="47E8824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usluga izrade studije ocjene prihvatljivosti za ekološku mrežu u iznosu 32.250,00 €,  </w:t>
      </w:r>
    </w:p>
    <w:p w14:paraId="3DDB3F07"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usluge koje se odnose na izradu projektne dokumentacije za manja putnička pristaništa na rijeci Savi (Županja, Slavonski </w:t>
      </w:r>
      <w:proofErr w:type="spellStart"/>
      <w:r w:rsidRPr="00E00F21">
        <w:rPr>
          <w:rFonts w:ascii="Times New Roman" w:eastAsia="Times New Roman" w:hAnsi="Times New Roman" w:cs="Times New Roman"/>
          <w:szCs w:val="20"/>
        </w:rPr>
        <w:t>Kobaš</w:t>
      </w:r>
      <w:proofErr w:type="spellEnd"/>
      <w:r w:rsidRPr="00E00F21">
        <w:rPr>
          <w:rFonts w:ascii="Times New Roman" w:eastAsia="Times New Roman" w:hAnsi="Times New Roman" w:cs="Times New Roman"/>
          <w:szCs w:val="20"/>
        </w:rPr>
        <w:t xml:space="preserve">, Babina Greda i Davor) u iznosu 5.806,63 €, </w:t>
      </w:r>
    </w:p>
    <w:p w14:paraId="1F0DC9D5"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troškovi povjerenstva za procjenu utjecaja na okoliš u iznosu 2.250,00 € i  </w:t>
      </w:r>
    </w:p>
    <w:p w14:paraId="6F04C57F"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usluga koordinatora ZNR u iznosu 2.649,00 €.   </w:t>
      </w:r>
    </w:p>
    <w:p w14:paraId="2519802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Najveći dio sredstava u okviru aktivnosti A928002 Gradnja i održavanje utrošen je na rashode za nabavu proizvedene dugotrajne imovine u iznosu 3.300.566,43 €, a odnosi se na realizaciju slijedećih projekata u luci Slavonski Brod:  </w:t>
      </w:r>
    </w:p>
    <w:p w14:paraId="5E569BCE" w14:textId="77777777" w:rsidR="00E00F21" w:rsidRPr="00E00F21" w:rsidRDefault="00E00F21" w:rsidP="00E00F21">
      <w:pPr>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lastRenderedPageBreak/>
        <w:t xml:space="preserve">- ''Izgradnja građevina za pregled i popravak kontejnera sa pripadajućom infrastrukturom u luci Slavonski Brod'', u iznosu 261.902,53 €, sukladno ugovorenom troškovniku obuhvaća projekte izvedenog stanja i sljedeće preostale radove: radove na carinskoj i servisnoj radionici koji su se odnosili na: elektrotehničke radove, ugradnju opreme u polju radionica, obrtničke radove, stolarske radove, radove ugradnje podloge poda, instalaterske radove, te radove  na unutarnjoj i vanjskoj hidrantskoj mreži. </w:t>
      </w:r>
    </w:p>
    <w:p w14:paraId="3BA411C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''Dovršetak izgradnje osnovne lučke infrastrukture luke Slavonski Brod'', u iznosu 2.890.785,17 €, a izvodili su se radovi pripreme i stavljanje gradilišta u funkciju, izrade pješačkih staza, sustava oborinske odvodnje, izrade vodoopskrbe i </w:t>
      </w:r>
      <w:proofErr w:type="spellStart"/>
      <w:r w:rsidRPr="00E00F21">
        <w:rPr>
          <w:rFonts w:ascii="Times New Roman" w:eastAsia="Times New Roman" w:hAnsi="Times New Roman" w:cs="Times New Roman"/>
          <w:szCs w:val="20"/>
        </w:rPr>
        <w:t>vatroobrane</w:t>
      </w:r>
      <w:proofErr w:type="spellEnd"/>
      <w:r w:rsidRPr="00E00F21">
        <w:rPr>
          <w:rFonts w:ascii="Times New Roman" w:eastAsia="Times New Roman" w:hAnsi="Times New Roman" w:cs="Times New Roman"/>
          <w:szCs w:val="20"/>
        </w:rPr>
        <w:t xml:space="preserve">, izrade plinofikacije. Radovi su obuhvaćali i gradnju industrijskih kolosijeka i armiranobetonske radove na dva cestovna prijelaza te strojno niveliranje kolosijeka po visini i širini. </w:t>
      </w:r>
    </w:p>
    <w:p w14:paraId="204B5810"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Radovi manjeg opsega u iznosu 21.792,05 € koji se odnose na plaćanja pristojbi i doprinosa, elektrostrojarskog nadzora na kontejnerskom terminalu i nabavku novih kontejnera. </w:t>
      </w:r>
    </w:p>
    <w:p w14:paraId="057E23F3"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Iznos od 126.086,68 € potrošen je za izradu projektne dokumentacije za manja putnička pristaništa na rijeci Savi (Županja, Slavonski </w:t>
      </w:r>
      <w:proofErr w:type="spellStart"/>
      <w:r w:rsidRPr="00E00F21">
        <w:rPr>
          <w:rFonts w:ascii="Times New Roman" w:eastAsia="Times New Roman" w:hAnsi="Times New Roman" w:cs="Times New Roman"/>
          <w:szCs w:val="20"/>
        </w:rPr>
        <w:t>Kobaš</w:t>
      </w:r>
      <w:proofErr w:type="spellEnd"/>
      <w:r w:rsidRPr="00E00F21">
        <w:rPr>
          <w:rFonts w:ascii="Times New Roman" w:eastAsia="Times New Roman" w:hAnsi="Times New Roman" w:cs="Times New Roman"/>
          <w:szCs w:val="20"/>
        </w:rPr>
        <w:t xml:space="preserve">, Babina Greda i Davor). Izrađene su radne verzije Glavnog projekta pristaništa Davor, Glavnog projekta pristaništa Slavonski </w:t>
      </w:r>
      <w:proofErr w:type="spellStart"/>
      <w:r w:rsidRPr="00E00F21">
        <w:rPr>
          <w:rFonts w:ascii="Times New Roman" w:eastAsia="Times New Roman" w:hAnsi="Times New Roman" w:cs="Times New Roman"/>
          <w:szCs w:val="20"/>
        </w:rPr>
        <w:t>Kobaš</w:t>
      </w:r>
      <w:proofErr w:type="spellEnd"/>
      <w:r w:rsidRPr="00E00F21">
        <w:rPr>
          <w:rFonts w:ascii="Times New Roman" w:eastAsia="Times New Roman" w:hAnsi="Times New Roman" w:cs="Times New Roman"/>
          <w:szCs w:val="20"/>
        </w:rPr>
        <w:t>, Glavnog projekta pristaništa Babina Greda i Glavnog projekta pristaništa Županja. Ishođeno je Rješenje Prethodne ocjene prihvatljivosti zahvata za ekološku mrežu za pristanište Županja. Također, ishođena je Obavijest o ishođenim posebnim uvjetima javnopravnih tijela za pristanište Županja.</w:t>
      </w:r>
    </w:p>
    <w:p w14:paraId="5335D55A"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23F56BF8" w14:textId="77777777" w:rsidTr="00A22AB0">
        <w:trPr>
          <w:jc w:val="center"/>
        </w:trPr>
        <w:tc>
          <w:tcPr>
            <w:tcW w:w="2551" w:type="dxa"/>
            <w:shd w:val="clear" w:color="auto" w:fill="B5C0D8"/>
          </w:tcPr>
          <w:p w14:paraId="5346C0C0"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rezultata</w:t>
            </w:r>
          </w:p>
        </w:tc>
        <w:tc>
          <w:tcPr>
            <w:tcW w:w="2551" w:type="dxa"/>
            <w:shd w:val="clear" w:color="auto" w:fill="B5C0D8"/>
          </w:tcPr>
          <w:p w14:paraId="5C5D6488"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05E6ACF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7D876236"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4DCFBEE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35DCA07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6C05575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1285B22A" w14:textId="77777777" w:rsidTr="00A22AB0">
        <w:trPr>
          <w:jc w:val="center"/>
        </w:trPr>
        <w:tc>
          <w:tcPr>
            <w:tcW w:w="2551" w:type="dxa"/>
          </w:tcPr>
          <w:p w14:paraId="193BD33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Postotak izgrađenosti prometnica i kolosijeka u luci Slavonski Brod</w:t>
            </w:r>
          </w:p>
        </w:tc>
        <w:tc>
          <w:tcPr>
            <w:tcW w:w="2551" w:type="dxa"/>
          </w:tcPr>
          <w:p w14:paraId="272217A8"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Izgradnjom prometnica i kolosijeka  sa pripadajućim sustavom odvodnje u luci  Slavonski Brod stvorit će se uvjeti za otvaranje luke za međunarodni promet</w:t>
            </w:r>
          </w:p>
        </w:tc>
        <w:tc>
          <w:tcPr>
            <w:tcW w:w="1020" w:type="dxa"/>
          </w:tcPr>
          <w:p w14:paraId="61F2507C"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w:t>
            </w:r>
          </w:p>
        </w:tc>
        <w:tc>
          <w:tcPr>
            <w:tcW w:w="1020" w:type="dxa"/>
          </w:tcPr>
          <w:p w14:paraId="280697B0"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86</w:t>
            </w:r>
          </w:p>
        </w:tc>
        <w:tc>
          <w:tcPr>
            <w:tcW w:w="1020" w:type="dxa"/>
          </w:tcPr>
          <w:p w14:paraId="1FF61155"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3E03ADEA"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93</w:t>
            </w:r>
          </w:p>
        </w:tc>
        <w:tc>
          <w:tcPr>
            <w:tcW w:w="1020" w:type="dxa"/>
          </w:tcPr>
          <w:p w14:paraId="2E33C12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93</w:t>
            </w:r>
          </w:p>
        </w:tc>
      </w:tr>
    </w:tbl>
    <w:p w14:paraId="2E10A331"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4F514F8A" w14:textId="77777777" w:rsidR="00E00F21" w:rsidRPr="00E00F21" w:rsidRDefault="00E00F21" w:rsidP="00E00F21">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rPr>
      </w:pPr>
      <w:r w:rsidRPr="00E00F21">
        <w:rPr>
          <w:rFonts w:ascii="Times New Roman" w:eastAsia="Times New Roman" w:hAnsi="Times New Roman" w:cs="Times New Roman"/>
          <w:b/>
          <w:bCs/>
          <w:sz w:val="28"/>
          <w:szCs w:val="28"/>
        </w:rPr>
        <w:t>K928005 CEF - IZRADA STUDIJA I PROJEKTNE DOKUMENTACIJE ZA POTREBE IZGRADNJE TERMINALA ZA OPASNE TERETE U LUCI SLAVONSKI BROD</w:t>
      </w:r>
    </w:p>
    <w:tbl>
      <w:tblPr>
        <w:tblStyle w:val="StilTablice"/>
        <w:tblW w:w="10206" w:type="dxa"/>
        <w:jc w:val="center"/>
        <w:tblLook w:val="04A0" w:firstRow="1" w:lastRow="0" w:firstColumn="1" w:lastColumn="0" w:noHBand="0" w:noVBand="1"/>
      </w:tblPr>
      <w:tblGrid>
        <w:gridCol w:w="1803"/>
        <w:gridCol w:w="1990"/>
        <w:gridCol w:w="1993"/>
        <w:gridCol w:w="1990"/>
        <w:gridCol w:w="1213"/>
        <w:gridCol w:w="1217"/>
      </w:tblGrid>
      <w:tr w:rsidR="00E00F21" w:rsidRPr="00E00F21" w14:paraId="64A6C45B" w14:textId="77777777" w:rsidTr="00A22AB0">
        <w:trPr>
          <w:jc w:val="center"/>
        </w:trPr>
        <w:tc>
          <w:tcPr>
            <w:tcW w:w="1632" w:type="dxa"/>
            <w:shd w:val="clear" w:color="auto" w:fill="B5C0D8"/>
          </w:tcPr>
          <w:p w14:paraId="7D653892"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Naziv aktivnosti</w:t>
            </w:r>
          </w:p>
        </w:tc>
        <w:tc>
          <w:tcPr>
            <w:tcW w:w="2041" w:type="dxa"/>
            <w:shd w:val="clear" w:color="auto" w:fill="B5C0D8"/>
          </w:tcPr>
          <w:p w14:paraId="2F38384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1AD37307"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3CF0A3B7"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76C58AF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1370ACE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15DF6B9D" w14:textId="77777777" w:rsidTr="00A22AB0">
        <w:trPr>
          <w:jc w:val="center"/>
        </w:trPr>
        <w:tc>
          <w:tcPr>
            <w:tcW w:w="1632" w:type="dxa"/>
          </w:tcPr>
          <w:p w14:paraId="6CC7C31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K928005-CEF - IZRADA STUDIJA I PROJEKTNE DOKUMENTACIJE ZA POTREBE IZGRADNJE TERMINALA ZA OPASNE TERETE U LUCI SLAVONSKI BROD</w:t>
            </w:r>
          </w:p>
        </w:tc>
        <w:tc>
          <w:tcPr>
            <w:tcW w:w="2041" w:type="dxa"/>
          </w:tcPr>
          <w:p w14:paraId="4694B9CD"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76.448</w:t>
            </w:r>
          </w:p>
        </w:tc>
        <w:tc>
          <w:tcPr>
            <w:tcW w:w="2041" w:type="dxa"/>
          </w:tcPr>
          <w:p w14:paraId="52A8C2F7"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1.054.925</w:t>
            </w:r>
          </w:p>
        </w:tc>
        <w:tc>
          <w:tcPr>
            <w:tcW w:w="2041" w:type="dxa"/>
          </w:tcPr>
          <w:p w14:paraId="2F4C613D"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429.161</w:t>
            </w:r>
          </w:p>
        </w:tc>
        <w:tc>
          <w:tcPr>
            <w:tcW w:w="1224" w:type="dxa"/>
          </w:tcPr>
          <w:p w14:paraId="203B1D08"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40,7</w:t>
            </w:r>
          </w:p>
        </w:tc>
        <w:tc>
          <w:tcPr>
            <w:tcW w:w="1224" w:type="dxa"/>
          </w:tcPr>
          <w:p w14:paraId="16D57468"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561,4</w:t>
            </w:r>
          </w:p>
        </w:tc>
      </w:tr>
    </w:tbl>
    <w:p w14:paraId="3730117F"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4A1BF619"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lastRenderedPageBreak/>
        <w:t>Zakonske i druge pravne osnove</w:t>
      </w:r>
    </w:p>
    <w:p w14:paraId="2DBD096E"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Zakon o plovidbi i lukama unutarnjih voda </w:t>
      </w:r>
    </w:p>
    <w:p w14:paraId="481F8D76"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Sporazum o dodjeli bespovratnih sredstava iz programa Instrumenti za povezivanje Europe (CEF)- sektor transporta sporazum br. INEA/CEF/TRAN/M2020/2434333</w:t>
      </w:r>
    </w:p>
    <w:p w14:paraId="7D82D329"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aktivnosti</w:t>
      </w:r>
    </w:p>
    <w:p w14:paraId="1EEBD04C"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Glavni cilj ovog projekta je izraditi studijsku, projektnu i natječajnu dokumentaciju za izgradnju terminala za opasne terete koji će stvoriti preduvjete za dinamičniji rast aktivnosti te osigurati bolje tehničke uvjete u luci Slavonski Brod. Razdoblje provođenja projekta je od 16.08.2021. do 31.12.2024. godine. U toku 2024. godine izvršeno je slijedeće: </w:t>
      </w:r>
    </w:p>
    <w:p w14:paraId="57A2A596"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Izrađena je Studija izvedivosti,</w:t>
      </w:r>
    </w:p>
    <w:p w14:paraId="15B74B41"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Ishođeno Rješenje o prihvatljivosti zahvata za okoliš, izdano od strane Ministarstva zaštite okoliša i zelene tranzicije, datirano 20.11.2024.,</w:t>
      </w:r>
    </w:p>
    <w:p w14:paraId="33CEB556"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Pokrenut postupak ishođenja Lokacijske dozvole pred Ministarstvom prostornog uređenja, graditeljstva i državne imovine,</w:t>
      </w:r>
    </w:p>
    <w:p w14:paraId="1C0F6AFA"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Izrađena radna verzija glavnog projekta sa svim pripadnim elaboratima, </w:t>
      </w:r>
    </w:p>
    <w:p w14:paraId="1687BE48"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Ishođeno Odobrenje Lučke kapetanije Slavonski Brod na izrađeni prometno-tehnološki elaborat, datum16.12.2024. godine. </w:t>
      </w:r>
    </w:p>
    <w:p w14:paraId="709B923E"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Aktivnost projektnog menadžmenta (Usluga tehničke i administrativne pomoći) se odnosi na sve zadatke i odgovornosti povezane s upravljanjem i koordinacijom projekta. U 2024. godini izvršeno je praćenje tijeka projekta i podrška naručitelju te sudjelovanje u pripremi za izradu godišnjeg izvještaja (</w:t>
      </w:r>
      <w:proofErr w:type="spellStart"/>
      <w:r w:rsidRPr="00E00F21">
        <w:rPr>
          <w:rFonts w:ascii="Times New Roman" w:eastAsia="Times New Roman" w:hAnsi="Times New Roman" w:cs="Times New Roman"/>
          <w:szCs w:val="20"/>
        </w:rPr>
        <w:t>Annual</w:t>
      </w:r>
      <w:proofErr w:type="spellEnd"/>
      <w:r w:rsidRPr="00E00F21">
        <w:rPr>
          <w:rFonts w:ascii="Times New Roman" w:eastAsia="Times New Roman" w:hAnsi="Times New Roman" w:cs="Times New Roman"/>
          <w:szCs w:val="20"/>
        </w:rPr>
        <w:t xml:space="preserve"> Status </w:t>
      </w:r>
      <w:proofErr w:type="spellStart"/>
      <w:r w:rsidRPr="00E00F21">
        <w:rPr>
          <w:rFonts w:ascii="Times New Roman" w:eastAsia="Times New Roman" w:hAnsi="Times New Roman" w:cs="Times New Roman"/>
          <w:szCs w:val="20"/>
        </w:rPr>
        <w:t>Report</w:t>
      </w:r>
      <w:proofErr w:type="spellEnd"/>
      <w:r w:rsidRPr="00E00F21">
        <w:rPr>
          <w:rFonts w:ascii="Times New Roman" w:eastAsia="Times New Roman" w:hAnsi="Times New Roman" w:cs="Times New Roman"/>
          <w:szCs w:val="20"/>
        </w:rPr>
        <w:t xml:space="preserve">) za CINEA-u.                                                       </w:t>
      </w:r>
    </w:p>
    <w:p w14:paraId="1B46364F"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Sredstva koja su utrošena u 2024. godini za usluge promidžbe i informiranja odnose se na objave na web stranici projekta i radijsku reportažu.    </w:t>
      </w:r>
    </w:p>
    <w:p w14:paraId="6F9E29D2"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U 2024. godini nije bilo sati rada zaposlenih na projektu pa sredstva na kontu Rashodi za zaposlene nisu utrošena.  </w:t>
      </w:r>
    </w:p>
    <w:p w14:paraId="21B7552D"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Zbog dugotrajnosti postupka Procjene utjecaja na okoliš realizacija ovog projekta ostvarena je u manjem opsegu od planirane.</w:t>
      </w:r>
    </w:p>
    <w:p w14:paraId="114B6ACE"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28C6226E" w14:textId="77777777" w:rsidTr="00A22AB0">
        <w:trPr>
          <w:jc w:val="center"/>
        </w:trPr>
        <w:tc>
          <w:tcPr>
            <w:tcW w:w="2551" w:type="dxa"/>
            <w:shd w:val="clear" w:color="auto" w:fill="B5C0D8"/>
          </w:tcPr>
          <w:p w14:paraId="154D10F1"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rezultata</w:t>
            </w:r>
          </w:p>
        </w:tc>
        <w:tc>
          <w:tcPr>
            <w:tcW w:w="2551" w:type="dxa"/>
            <w:shd w:val="clear" w:color="auto" w:fill="B5C0D8"/>
          </w:tcPr>
          <w:p w14:paraId="488FB88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4CA7F29B"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62130809"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0F283869"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1508C048"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0BC53D1C"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00790574" w14:textId="77777777" w:rsidTr="00A22AB0">
        <w:trPr>
          <w:jc w:val="center"/>
        </w:trPr>
        <w:tc>
          <w:tcPr>
            <w:tcW w:w="2551" w:type="dxa"/>
          </w:tcPr>
          <w:p w14:paraId="5423A5D5"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Postotak izrade studija i projektne dokumentacije</w:t>
            </w:r>
          </w:p>
        </w:tc>
        <w:tc>
          <w:tcPr>
            <w:tcW w:w="2551" w:type="dxa"/>
          </w:tcPr>
          <w:p w14:paraId="769DCE58"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Izrada studija i projektne dokumentacije za terminal za opasne terete u luci Slavonski Brod</w:t>
            </w:r>
          </w:p>
        </w:tc>
        <w:tc>
          <w:tcPr>
            <w:tcW w:w="1020" w:type="dxa"/>
          </w:tcPr>
          <w:p w14:paraId="1F01EA60"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w:t>
            </w:r>
          </w:p>
        </w:tc>
        <w:tc>
          <w:tcPr>
            <w:tcW w:w="1020" w:type="dxa"/>
          </w:tcPr>
          <w:p w14:paraId="278927A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70</w:t>
            </w:r>
          </w:p>
        </w:tc>
        <w:tc>
          <w:tcPr>
            <w:tcW w:w="1020" w:type="dxa"/>
          </w:tcPr>
          <w:p w14:paraId="53C26BFC"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64B57F3B"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100</w:t>
            </w:r>
          </w:p>
        </w:tc>
        <w:tc>
          <w:tcPr>
            <w:tcW w:w="1020" w:type="dxa"/>
          </w:tcPr>
          <w:p w14:paraId="21DEEEB9"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71</w:t>
            </w:r>
          </w:p>
        </w:tc>
      </w:tr>
    </w:tbl>
    <w:p w14:paraId="3DD2E93D" w14:textId="77777777" w:rsid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614D3CE6" w14:textId="77777777" w:rsid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322287C4" w14:textId="77777777" w:rsid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51ECE84E"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5F4AA88B" w14:textId="77777777" w:rsidR="00E00F21" w:rsidRPr="00E00F21" w:rsidRDefault="00E00F21" w:rsidP="00E00F21">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rPr>
      </w:pPr>
      <w:r w:rsidRPr="00E00F21">
        <w:rPr>
          <w:rFonts w:ascii="Times New Roman" w:eastAsia="Times New Roman" w:hAnsi="Times New Roman" w:cs="Times New Roman"/>
          <w:b/>
          <w:bCs/>
          <w:sz w:val="28"/>
          <w:szCs w:val="28"/>
        </w:rPr>
        <w:lastRenderedPageBreak/>
        <w:t>T928003 OTPLATA ZAJMOVA ZAGREBAČKE BANKE I HBOR-A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00F21" w:rsidRPr="00E00F21" w14:paraId="754B6058" w14:textId="77777777" w:rsidTr="00A22AB0">
        <w:trPr>
          <w:jc w:val="center"/>
        </w:trPr>
        <w:tc>
          <w:tcPr>
            <w:tcW w:w="1632" w:type="dxa"/>
            <w:shd w:val="clear" w:color="auto" w:fill="B5C0D8"/>
          </w:tcPr>
          <w:p w14:paraId="4E30CA91"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Naziv aktivnosti</w:t>
            </w:r>
          </w:p>
        </w:tc>
        <w:tc>
          <w:tcPr>
            <w:tcW w:w="2041" w:type="dxa"/>
            <w:shd w:val="clear" w:color="auto" w:fill="B5C0D8"/>
          </w:tcPr>
          <w:p w14:paraId="40D7EFFF"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2023.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371EE2E1"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Plan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2041" w:type="dxa"/>
            <w:shd w:val="clear" w:color="auto" w:fill="B5C0D8"/>
          </w:tcPr>
          <w:p w14:paraId="36F29207"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Izvršenje 2024. (</w:t>
            </w:r>
            <w:proofErr w:type="spellStart"/>
            <w:r w:rsidRPr="00E00F21">
              <w:rPr>
                <w:rFonts w:eastAsia="Times New Roman" w:cs="Times New Roman"/>
                <w:bCs/>
                <w:lang w:eastAsia="hr-HR"/>
              </w:rPr>
              <w:t>eur</w:t>
            </w:r>
            <w:proofErr w:type="spellEnd"/>
            <w:r w:rsidRPr="00E00F21">
              <w:rPr>
                <w:rFonts w:eastAsia="Times New Roman" w:cs="Times New Roman"/>
                <w:bCs/>
                <w:lang w:eastAsia="hr-HR"/>
              </w:rPr>
              <w:t>)</w:t>
            </w:r>
          </w:p>
        </w:tc>
        <w:tc>
          <w:tcPr>
            <w:tcW w:w="1224" w:type="dxa"/>
            <w:shd w:val="clear" w:color="auto" w:fill="B5C0D8"/>
          </w:tcPr>
          <w:p w14:paraId="12D8EA8A"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2024./plan 2024.</w:t>
            </w:r>
          </w:p>
        </w:tc>
        <w:tc>
          <w:tcPr>
            <w:tcW w:w="1224" w:type="dxa"/>
            <w:shd w:val="clear" w:color="auto" w:fill="B5C0D8"/>
          </w:tcPr>
          <w:p w14:paraId="26AA7B5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Indeks izvršenje 2024./2023.</w:t>
            </w:r>
          </w:p>
        </w:tc>
      </w:tr>
      <w:tr w:rsidR="00E00F21" w:rsidRPr="00E00F21" w14:paraId="44501D42" w14:textId="77777777" w:rsidTr="00A22AB0">
        <w:trPr>
          <w:jc w:val="center"/>
        </w:trPr>
        <w:tc>
          <w:tcPr>
            <w:tcW w:w="1632" w:type="dxa"/>
          </w:tcPr>
          <w:p w14:paraId="67BC0DB2"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T928003-OTPLATA ZAJMOVA ZAGREBAČKE BANKE I HBOR-A</w:t>
            </w:r>
          </w:p>
        </w:tc>
        <w:tc>
          <w:tcPr>
            <w:tcW w:w="2041" w:type="dxa"/>
          </w:tcPr>
          <w:p w14:paraId="34665E13"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971.119</w:t>
            </w:r>
          </w:p>
        </w:tc>
        <w:tc>
          <w:tcPr>
            <w:tcW w:w="2041" w:type="dxa"/>
          </w:tcPr>
          <w:p w14:paraId="5633D4C5"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990.592</w:t>
            </w:r>
          </w:p>
        </w:tc>
        <w:tc>
          <w:tcPr>
            <w:tcW w:w="2041" w:type="dxa"/>
          </w:tcPr>
          <w:p w14:paraId="1D76698D"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951.527</w:t>
            </w:r>
          </w:p>
        </w:tc>
        <w:tc>
          <w:tcPr>
            <w:tcW w:w="1224" w:type="dxa"/>
          </w:tcPr>
          <w:p w14:paraId="62BC13D9"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96,1</w:t>
            </w:r>
          </w:p>
        </w:tc>
        <w:tc>
          <w:tcPr>
            <w:tcW w:w="1224" w:type="dxa"/>
          </w:tcPr>
          <w:p w14:paraId="64524C90"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98,0</w:t>
            </w:r>
          </w:p>
        </w:tc>
      </w:tr>
    </w:tbl>
    <w:p w14:paraId="507F4ADC"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3E67CA9D"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Zakonske i druge pravne osnove</w:t>
      </w:r>
    </w:p>
    <w:p w14:paraId="2ED4CA12"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Ugovor o dugoročnom kreditu  s valutnom klauzulom (EUR) iz HBOR-ovog Programa Infrastruktura broj 3236340967,  kreditor Zagrebačka banka d.d.   </w:t>
      </w:r>
    </w:p>
    <w:p w14:paraId="3458D0A2"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xml:space="preserve">- Ugovor o kunskom kreditu broj:KO-37/17, kreditor HBOR   </w:t>
      </w:r>
    </w:p>
    <w:p w14:paraId="4E48A440"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 Ugovor o izdavanju Jamstva broj:F-009-18 za uredno izmirenje dugoročnih obveza, Ministarstvo  financija</w:t>
      </w:r>
    </w:p>
    <w:p w14:paraId="53D21D71"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Opis aktivnosti</w:t>
      </w:r>
    </w:p>
    <w:p w14:paraId="3EC04AFF" w14:textId="77777777" w:rsidR="00E00F21" w:rsidRPr="00E00F21" w:rsidRDefault="00E00F21" w:rsidP="00E00F21">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rPr>
      </w:pPr>
      <w:r w:rsidRPr="00E00F21">
        <w:rPr>
          <w:rFonts w:ascii="Times New Roman" w:eastAsia="Times New Roman" w:hAnsi="Times New Roman" w:cs="Times New Roman"/>
          <w:szCs w:val="20"/>
        </w:rPr>
        <w:t>Sredstvima planiranim unutar navedene aktivnosti u 2024. godini financirane su redovite kamate po kreditima Zagrebačke banke d.d. u iznosu 132.987,09 € i HBOR-a u iznosu 265.445,60 €, otplata rata kredita Zagrebačke banke d.d. u iznosu 499.860,09 € i plaćanje provizije za primljeno Jamstvo u iznosu 53.234,58 €.</w:t>
      </w:r>
    </w:p>
    <w:p w14:paraId="7209F565" w14:textId="77777777" w:rsidR="00E00F21" w:rsidRPr="00E00F21" w:rsidRDefault="00E00F21" w:rsidP="00E00F21">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rPr>
      </w:pPr>
      <w:r w:rsidRPr="00E00F21">
        <w:rPr>
          <w:rFonts w:ascii="Times New Roman" w:eastAsia="Times New Roman" w:hAnsi="Times New Roman" w:cs="Times New Roman"/>
          <w:b/>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00F21" w:rsidRPr="00E00F21" w14:paraId="416B3BB4" w14:textId="77777777" w:rsidTr="00A22AB0">
        <w:trPr>
          <w:jc w:val="center"/>
        </w:trPr>
        <w:tc>
          <w:tcPr>
            <w:tcW w:w="2551" w:type="dxa"/>
            <w:shd w:val="clear" w:color="auto" w:fill="B5C0D8"/>
          </w:tcPr>
          <w:p w14:paraId="03181EF4" w14:textId="77777777" w:rsidR="00E00F21" w:rsidRPr="00E00F21" w:rsidRDefault="00E00F21" w:rsidP="00E00F21">
            <w:pPr>
              <w:overflowPunct w:val="0"/>
              <w:autoSpaceDE w:val="0"/>
              <w:autoSpaceDN w:val="0"/>
              <w:adjustRightInd w:val="0"/>
              <w:textAlignment w:val="baseline"/>
              <w:rPr>
                <w:rFonts w:eastAsia="Times New Roman" w:cs="Times New Roman"/>
                <w:szCs w:val="20"/>
              </w:rPr>
            </w:pPr>
            <w:r w:rsidRPr="00E00F21">
              <w:rPr>
                <w:rFonts w:eastAsia="Times New Roman" w:cs="Times New Roman"/>
                <w:szCs w:val="20"/>
              </w:rPr>
              <w:t>Pokazatelj rezultata</w:t>
            </w:r>
          </w:p>
        </w:tc>
        <w:tc>
          <w:tcPr>
            <w:tcW w:w="2551" w:type="dxa"/>
            <w:shd w:val="clear" w:color="auto" w:fill="B5C0D8"/>
          </w:tcPr>
          <w:p w14:paraId="4F682279"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Definicija</w:t>
            </w:r>
          </w:p>
        </w:tc>
        <w:tc>
          <w:tcPr>
            <w:tcW w:w="1020" w:type="dxa"/>
            <w:shd w:val="clear" w:color="auto" w:fill="B5C0D8"/>
          </w:tcPr>
          <w:p w14:paraId="68FF5FC3"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Jedinica</w:t>
            </w:r>
          </w:p>
        </w:tc>
        <w:tc>
          <w:tcPr>
            <w:tcW w:w="1020" w:type="dxa"/>
            <w:shd w:val="clear" w:color="auto" w:fill="B5C0D8"/>
          </w:tcPr>
          <w:p w14:paraId="2809AA96"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Polazna vrijednost</w:t>
            </w:r>
          </w:p>
        </w:tc>
        <w:tc>
          <w:tcPr>
            <w:tcW w:w="1020" w:type="dxa"/>
            <w:shd w:val="clear" w:color="auto" w:fill="B5C0D8"/>
          </w:tcPr>
          <w:p w14:paraId="15E201CE"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Izvor podataka</w:t>
            </w:r>
          </w:p>
        </w:tc>
        <w:tc>
          <w:tcPr>
            <w:tcW w:w="1020" w:type="dxa"/>
            <w:shd w:val="clear" w:color="auto" w:fill="B5C0D8"/>
          </w:tcPr>
          <w:p w14:paraId="1A6BEFF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Ciljana vrijednost (2024.)</w:t>
            </w:r>
          </w:p>
        </w:tc>
        <w:tc>
          <w:tcPr>
            <w:tcW w:w="1020" w:type="dxa"/>
            <w:shd w:val="clear" w:color="auto" w:fill="B5C0D8"/>
          </w:tcPr>
          <w:p w14:paraId="39E28092"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Ostvarena vrijednost (2024.)</w:t>
            </w:r>
          </w:p>
        </w:tc>
      </w:tr>
      <w:tr w:rsidR="00E00F21" w:rsidRPr="00E00F21" w14:paraId="56033AF1" w14:textId="77777777" w:rsidTr="00A22AB0">
        <w:trPr>
          <w:jc w:val="center"/>
        </w:trPr>
        <w:tc>
          <w:tcPr>
            <w:tcW w:w="2551" w:type="dxa"/>
          </w:tcPr>
          <w:p w14:paraId="49DE39FD"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Postotak pokrivenosti ugovorenih obveza</w:t>
            </w:r>
          </w:p>
        </w:tc>
        <w:tc>
          <w:tcPr>
            <w:tcW w:w="2551" w:type="dxa"/>
          </w:tcPr>
          <w:p w14:paraId="6D637154" w14:textId="77777777" w:rsidR="00E00F21" w:rsidRPr="00E00F21" w:rsidRDefault="00E00F21" w:rsidP="00E00F21">
            <w:pPr>
              <w:overflowPunct w:val="0"/>
              <w:autoSpaceDE w:val="0"/>
              <w:autoSpaceDN w:val="0"/>
              <w:adjustRightInd w:val="0"/>
              <w:textAlignment w:val="baseline"/>
              <w:rPr>
                <w:rFonts w:eastAsia="Times New Roman" w:cs="Arial"/>
                <w:bCs/>
                <w:lang w:eastAsia="hr-HR"/>
              </w:rPr>
            </w:pPr>
            <w:r w:rsidRPr="00E00F21">
              <w:rPr>
                <w:rFonts w:eastAsia="Times New Roman" w:cs="Times New Roman"/>
                <w:bCs/>
                <w:lang w:eastAsia="hr-HR"/>
              </w:rPr>
              <w:t>Pokrivenost obveza po zajmovima sukladno ugovorima (godišnja vrijednost)</w:t>
            </w:r>
          </w:p>
        </w:tc>
        <w:tc>
          <w:tcPr>
            <w:tcW w:w="1020" w:type="dxa"/>
          </w:tcPr>
          <w:p w14:paraId="1AFF9C3A"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w:t>
            </w:r>
          </w:p>
        </w:tc>
        <w:tc>
          <w:tcPr>
            <w:tcW w:w="1020" w:type="dxa"/>
          </w:tcPr>
          <w:p w14:paraId="5B192886"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0</w:t>
            </w:r>
          </w:p>
        </w:tc>
        <w:tc>
          <w:tcPr>
            <w:tcW w:w="1020" w:type="dxa"/>
          </w:tcPr>
          <w:p w14:paraId="6F347325"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Lučka uprava Slavonski Brod</w:t>
            </w:r>
          </w:p>
        </w:tc>
        <w:tc>
          <w:tcPr>
            <w:tcW w:w="1020" w:type="dxa"/>
          </w:tcPr>
          <w:p w14:paraId="4A3243CF"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100</w:t>
            </w:r>
          </w:p>
        </w:tc>
        <w:tc>
          <w:tcPr>
            <w:tcW w:w="1020" w:type="dxa"/>
          </w:tcPr>
          <w:p w14:paraId="05602F4C" w14:textId="77777777" w:rsidR="00E00F21" w:rsidRPr="00E00F21" w:rsidRDefault="00E00F21" w:rsidP="00E00F21">
            <w:pPr>
              <w:overflowPunct w:val="0"/>
              <w:autoSpaceDE w:val="0"/>
              <w:autoSpaceDN w:val="0"/>
              <w:adjustRightInd w:val="0"/>
              <w:jc w:val="right"/>
              <w:textAlignment w:val="baseline"/>
              <w:rPr>
                <w:rFonts w:eastAsia="Times New Roman" w:cs="Arial"/>
                <w:bCs/>
                <w:lang w:eastAsia="hr-HR"/>
              </w:rPr>
            </w:pPr>
            <w:r w:rsidRPr="00E00F21">
              <w:rPr>
                <w:rFonts w:eastAsia="Times New Roman" w:cs="Times New Roman"/>
                <w:bCs/>
                <w:lang w:eastAsia="hr-HR"/>
              </w:rPr>
              <w:t>100</w:t>
            </w:r>
          </w:p>
        </w:tc>
      </w:tr>
    </w:tbl>
    <w:p w14:paraId="54F92291" w14:textId="77777777" w:rsidR="00E00F21" w:rsidRPr="00E00F21" w:rsidRDefault="00E00F21" w:rsidP="00E00F21">
      <w:pPr>
        <w:overflowPunct w:val="0"/>
        <w:autoSpaceDE w:val="0"/>
        <w:autoSpaceDN w:val="0"/>
        <w:adjustRightInd w:val="0"/>
        <w:spacing w:after="120" w:line="240" w:lineRule="auto"/>
        <w:textAlignment w:val="baseline"/>
        <w:rPr>
          <w:rFonts w:ascii="Times New Roman" w:eastAsia="Times New Roman" w:hAnsi="Times New Roman" w:cs="Times New Roman"/>
          <w:szCs w:val="20"/>
        </w:rPr>
      </w:pPr>
    </w:p>
    <w:p w14:paraId="72F1E701" w14:textId="77777777" w:rsidR="003D7F19" w:rsidRPr="00407108" w:rsidRDefault="003D7F19"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1DB95804" w14:textId="77777777" w:rsidR="003D7F19" w:rsidRPr="00407108" w:rsidRDefault="003D7F19"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046FE44E" w14:textId="77777777" w:rsidR="00AB0524" w:rsidRPr="00407108" w:rsidRDefault="00AB0524"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1A2248BA" w14:textId="77777777" w:rsidR="00AB0524" w:rsidRPr="00407108" w:rsidRDefault="00AB0524"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0C4E7A69" w14:textId="77777777" w:rsidR="00AB0524" w:rsidRPr="00407108" w:rsidRDefault="00AB0524"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5A3DB25A" w14:textId="77777777" w:rsidR="00AB0524" w:rsidRPr="00407108" w:rsidRDefault="00AB0524" w:rsidP="00DA52AA">
      <w:pPr>
        <w:jc w:val="both"/>
        <w:rPr>
          <w:rFonts w:ascii="Times New Roman" w:hAnsi="Times New Roman" w:cs="Times New Roman"/>
          <w:sz w:val="24"/>
          <w:szCs w:val="24"/>
        </w:rPr>
        <w:sectPr w:rsidR="00AB0524" w:rsidRPr="00407108" w:rsidSect="00FF0066">
          <w:headerReference w:type="default" r:id="rId21"/>
          <w:footerReference w:type="default" r:id="rId22"/>
          <w:pgSz w:w="11906" w:h="16838"/>
          <w:pgMar w:top="1417" w:right="1417" w:bottom="1417" w:left="1417" w:header="708" w:footer="708" w:gutter="0"/>
          <w:cols w:space="708"/>
          <w:titlePg/>
          <w:docGrid w:linePitch="360"/>
        </w:sectPr>
      </w:pPr>
    </w:p>
    <w:p w14:paraId="14A08BD8"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24" w:name="_Toc161740996"/>
      <w:bookmarkStart w:id="25" w:name="_Toc193796445"/>
      <w:r w:rsidRPr="00407108">
        <w:rPr>
          <w:rFonts w:ascii="Times New Roman" w:eastAsia="Times New Roman" w:hAnsi="Times New Roman" w:cs="Times New Roman"/>
          <w:b/>
          <w:bCs/>
          <w:sz w:val="24"/>
          <w:szCs w:val="24"/>
          <w:lang w:val="en-GB" w:eastAsia="en-GB" w:bidi="en-GB"/>
        </w:rPr>
        <w:lastRenderedPageBreak/>
        <w:t>4. POSEBNI IZVJEŠTAJI</w:t>
      </w:r>
      <w:bookmarkEnd w:id="24"/>
      <w:bookmarkEnd w:id="25"/>
    </w:p>
    <w:p w14:paraId="6E219596"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19749D92"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29CDAA1B"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26" w:name="_Toc161740997"/>
      <w:bookmarkStart w:id="27" w:name="_Toc193796446"/>
      <w:r w:rsidRPr="00407108">
        <w:rPr>
          <w:rFonts w:ascii="Times New Roman" w:eastAsia="Times New Roman" w:hAnsi="Times New Roman" w:cs="Times New Roman"/>
          <w:b/>
          <w:bCs/>
          <w:sz w:val="24"/>
          <w:szCs w:val="24"/>
          <w:lang w:val="en-GB" w:eastAsia="en-GB" w:bidi="en-GB"/>
        </w:rPr>
        <w:t>4.1. IZVJEŠTAJ O ZADUŽIVANJU NA DOMAĆEM I STRANOM TRŽIŠTU NOVCA I KAPITALA</w:t>
      </w:r>
      <w:bookmarkEnd w:id="26"/>
      <w:bookmarkEnd w:id="27"/>
    </w:p>
    <w:p w14:paraId="52038CE6"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6D412B25" w14:textId="77777777" w:rsidR="00AB0524" w:rsidRPr="00407108" w:rsidRDefault="00AB0524" w:rsidP="00AB0524">
      <w:pPr>
        <w:jc w:val="both"/>
        <w:rPr>
          <w:rFonts w:ascii="Times New Roman" w:eastAsia="Calibri" w:hAnsi="Times New Roman" w:cs="Times New Roman"/>
        </w:rPr>
      </w:pPr>
      <w:r w:rsidRPr="00407108">
        <w:rPr>
          <w:rFonts w:ascii="Times New Roman" w:eastAsia="Calibri" w:hAnsi="Times New Roman" w:cs="Times New Roman"/>
        </w:rPr>
        <w:t>Lučka uprava Slavonski Brod nema ugovorenih ili preuzetih zaduživanja u razdoblju 01.01.-31.12.2024. godine.</w:t>
      </w:r>
    </w:p>
    <w:p w14:paraId="7821113D" w14:textId="77777777" w:rsidR="00AB0524" w:rsidRPr="00407108" w:rsidRDefault="00AB0524" w:rsidP="00AB0524">
      <w:pPr>
        <w:jc w:val="both"/>
        <w:rPr>
          <w:rFonts w:ascii="Times New Roman" w:hAnsi="Times New Roman" w:cs="Times New Roman"/>
        </w:rPr>
      </w:pPr>
    </w:p>
    <w:p w14:paraId="279F5975" w14:textId="77777777" w:rsidR="00AB0524" w:rsidRPr="00407108" w:rsidRDefault="00AB0524" w:rsidP="00AB0524">
      <w:pPr>
        <w:jc w:val="both"/>
        <w:rPr>
          <w:rFonts w:ascii="Times New Roman" w:eastAsia="Calibri" w:hAnsi="Times New Roman" w:cs="Times New Roman"/>
        </w:rPr>
      </w:pPr>
      <w:r w:rsidRPr="00407108">
        <w:rPr>
          <w:rFonts w:ascii="Times New Roman" w:eastAsia="Calibri" w:hAnsi="Times New Roman" w:cs="Times New Roman"/>
        </w:rPr>
        <w:t>PREGLED OBVEZA PO DUGOROČNIM ZAJMOVIMA/KREDITIMA PRORAČUNSKOG KORISNIKA DRŽAVNOG PRORAČUNA</w:t>
      </w:r>
    </w:p>
    <w:p w14:paraId="2737A091" w14:textId="77777777" w:rsidR="00AB0524" w:rsidRPr="00407108" w:rsidRDefault="00AB0524" w:rsidP="00AB0524">
      <w:pPr>
        <w:jc w:val="both"/>
        <w:rPr>
          <w:rFonts w:ascii="Times New Roman" w:eastAsia="Calibri" w:hAnsi="Times New Roman" w:cs="Times New Roman"/>
          <w:b/>
          <w:bCs/>
        </w:rPr>
      </w:pPr>
    </w:p>
    <w:p w14:paraId="1C17A3F5" w14:textId="77777777" w:rsidR="00AB0524" w:rsidRPr="00407108" w:rsidRDefault="00AB0524" w:rsidP="00AB0524">
      <w:pPr>
        <w:jc w:val="both"/>
        <w:rPr>
          <w:rFonts w:ascii="Times New Roman" w:eastAsia="Calibri" w:hAnsi="Times New Roman" w:cs="Times New Roman"/>
          <w:b/>
          <w:bCs/>
        </w:rPr>
        <w:sectPr w:rsidR="00AB0524" w:rsidRPr="00407108" w:rsidSect="00AB0524">
          <w:pgSz w:w="16838" w:h="11906" w:orient="landscape"/>
          <w:pgMar w:top="1418" w:right="1418" w:bottom="1418" w:left="1418" w:header="709" w:footer="709" w:gutter="0"/>
          <w:cols w:space="708"/>
          <w:docGrid w:linePitch="360"/>
        </w:sectPr>
      </w:pPr>
      <w:r w:rsidRPr="00407108">
        <w:rPr>
          <w:rFonts w:ascii="Times New Roman" w:hAnsi="Times New Roman" w:cs="Times New Roman"/>
          <w:noProof/>
        </w:rPr>
        <w:drawing>
          <wp:inline distT="0" distB="0" distL="0" distR="0" wp14:anchorId="6BF15504" wp14:editId="24577650">
            <wp:extent cx="9115151" cy="1447800"/>
            <wp:effectExtent l="0" t="0" r="0" b="0"/>
            <wp:docPr id="116935233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19979" cy="1448567"/>
                    </a:xfrm>
                    <a:prstGeom prst="rect">
                      <a:avLst/>
                    </a:prstGeom>
                    <a:noFill/>
                    <a:ln>
                      <a:noFill/>
                    </a:ln>
                  </pic:spPr>
                </pic:pic>
              </a:graphicData>
            </a:graphic>
          </wp:inline>
        </w:drawing>
      </w:r>
    </w:p>
    <w:p w14:paraId="51F9BA35"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28" w:name="_Toc161740998"/>
      <w:bookmarkStart w:id="29" w:name="_Toc193796447"/>
      <w:r w:rsidRPr="00407108">
        <w:rPr>
          <w:rFonts w:ascii="Times New Roman" w:eastAsia="Times New Roman" w:hAnsi="Times New Roman" w:cs="Times New Roman"/>
          <w:b/>
          <w:bCs/>
          <w:sz w:val="24"/>
          <w:szCs w:val="24"/>
          <w:lang w:val="en-GB" w:eastAsia="en-GB" w:bidi="en-GB"/>
        </w:rPr>
        <w:lastRenderedPageBreak/>
        <w:t>4.2. IZVJEŠTAJ O KORIŠTENJU SREDSTAVA FONDOVA EUROPSKE UNIJE</w:t>
      </w:r>
      <w:bookmarkEnd w:id="28"/>
      <w:bookmarkEnd w:id="29"/>
    </w:p>
    <w:p w14:paraId="746952AD"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lang w:val="en-GB" w:eastAsia="en-GB" w:bidi="en-GB"/>
        </w:rPr>
      </w:pPr>
    </w:p>
    <w:p w14:paraId="0795A55F" w14:textId="77777777" w:rsidR="00AB0524" w:rsidRPr="00407108" w:rsidRDefault="00AB0524" w:rsidP="00AB0524">
      <w:pPr>
        <w:jc w:val="both"/>
        <w:rPr>
          <w:rFonts w:ascii="Times New Roman" w:eastAsia="Calibri" w:hAnsi="Times New Roman" w:cs="Times New Roman"/>
        </w:rPr>
      </w:pPr>
      <w:r w:rsidRPr="00407108">
        <w:rPr>
          <w:rFonts w:ascii="Times New Roman" w:eastAsia="Calibri" w:hAnsi="Times New Roman" w:cs="Times New Roman"/>
        </w:rPr>
        <w:t>Lučka uprava Slavonski Brod u 2024. godini nije imala korištenih sredstava fondova Europske unije iz izvora 56, 57 i 58.</w:t>
      </w:r>
    </w:p>
    <w:p w14:paraId="12F5DDFE" w14:textId="77777777" w:rsidR="00AB0524" w:rsidRPr="00407108" w:rsidRDefault="00AB0524" w:rsidP="00AB0524">
      <w:pPr>
        <w:jc w:val="both"/>
        <w:rPr>
          <w:rFonts w:ascii="Times New Roman" w:eastAsia="Calibri" w:hAnsi="Times New Roman" w:cs="Times New Roman"/>
        </w:rPr>
      </w:pPr>
    </w:p>
    <w:p w14:paraId="7D5220C0"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30" w:name="_Toc161740999"/>
      <w:bookmarkStart w:id="31" w:name="_Toc193796448"/>
      <w:r w:rsidRPr="00407108">
        <w:rPr>
          <w:rFonts w:ascii="Times New Roman" w:eastAsia="Times New Roman" w:hAnsi="Times New Roman" w:cs="Times New Roman"/>
          <w:b/>
          <w:bCs/>
          <w:sz w:val="24"/>
          <w:szCs w:val="24"/>
          <w:lang w:val="en-GB" w:eastAsia="en-GB" w:bidi="en-GB"/>
        </w:rPr>
        <w:t>4.3. IZVJEŠTAJ O DANIM ZAJMOVIMA I POTRAŽIVANJIMA PO DANIM ZAJMOVIMA</w:t>
      </w:r>
      <w:bookmarkEnd w:id="30"/>
      <w:bookmarkEnd w:id="31"/>
    </w:p>
    <w:p w14:paraId="52BF70E4" w14:textId="77777777" w:rsidR="00AB0524" w:rsidRPr="00407108" w:rsidRDefault="00AB0524" w:rsidP="00AB0524">
      <w:pPr>
        <w:widowControl w:val="0"/>
        <w:autoSpaceDE w:val="0"/>
        <w:autoSpaceDN w:val="0"/>
        <w:spacing w:after="0" w:line="240" w:lineRule="auto"/>
        <w:outlineLvl w:val="0"/>
        <w:rPr>
          <w:rFonts w:ascii="Times New Roman" w:eastAsia="Times New Roman" w:hAnsi="Times New Roman" w:cs="Times New Roman"/>
          <w:b/>
          <w:bCs/>
          <w:lang w:val="en-GB" w:eastAsia="en-GB" w:bidi="en-GB"/>
        </w:rPr>
      </w:pPr>
    </w:p>
    <w:p w14:paraId="155AC082" w14:textId="77777777" w:rsidR="00AB0524" w:rsidRPr="00407108" w:rsidRDefault="00AB0524" w:rsidP="00AB0524">
      <w:pPr>
        <w:jc w:val="both"/>
        <w:rPr>
          <w:rFonts w:ascii="Times New Roman" w:eastAsia="Calibri" w:hAnsi="Times New Roman" w:cs="Times New Roman"/>
        </w:rPr>
      </w:pPr>
      <w:r w:rsidRPr="00407108">
        <w:rPr>
          <w:rFonts w:ascii="Times New Roman" w:eastAsia="Calibri" w:hAnsi="Times New Roman" w:cs="Times New Roman"/>
        </w:rPr>
        <w:t>Lučka uprava Slavonski Brod nema danih zajmova kao niti potraživanja po danim zajmovima u razdoblju 01.01.-31.12.2024. godine.</w:t>
      </w:r>
    </w:p>
    <w:p w14:paraId="5598015C" w14:textId="77777777" w:rsidR="00AB0524" w:rsidRPr="00407108" w:rsidRDefault="00AB0524" w:rsidP="00AB0524">
      <w:pPr>
        <w:jc w:val="both"/>
        <w:rPr>
          <w:rFonts w:ascii="Times New Roman" w:eastAsia="Calibri" w:hAnsi="Times New Roman" w:cs="Times New Roman"/>
        </w:rPr>
      </w:pPr>
    </w:p>
    <w:p w14:paraId="437900DC"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32" w:name="_Toc161741000"/>
      <w:bookmarkStart w:id="33" w:name="_Toc193796449"/>
      <w:r w:rsidRPr="00407108">
        <w:rPr>
          <w:rFonts w:ascii="Times New Roman" w:eastAsia="Times New Roman" w:hAnsi="Times New Roman" w:cs="Times New Roman"/>
          <w:b/>
          <w:bCs/>
          <w:sz w:val="24"/>
          <w:szCs w:val="24"/>
          <w:lang w:val="en-GB" w:eastAsia="en-GB" w:bidi="en-GB"/>
        </w:rPr>
        <w:t>4.4. IZVJEŠTAJ O STANJU POTRAŽIVANJA I DOSPJELIH OBVEZA TE O STANJU POTENCIJALNIH OBVEZA PO OSNOVI SUDSKIH SPOROVA</w:t>
      </w:r>
      <w:bookmarkEnd w:id="32"/>
      <w:bookmarkEnd w:id="33"/>
    </w:p>
    <w:p w14:paraId="1422DAFB" w14:textId="77777777" w:rsidR="00AB0524" w:rsidRPr="00407108" w:rsidRDefault="00AB0524" w:rsidP="00AB0524">
      <w:pPr>
        <w:widowControl w:val="0"/>
        <w:autoSpaceDE w:val="0"/>
        <w:autoSpaceDN w:val="0"/>
        <w:spacing w:after="0" w:line="240" w:lineRule="auto"/>
        <w:outlineLvl w:val="0"/>
        <w:rPr>
          <w:rFonts w:ascii="Times New Roman" w:eastAsia="Times New Roman" w:hAnsi="Times New Roman" w:cs="Times New Roman"/>
          <w:b/>
          <w:bCs/>
          <w:lang w:val="en-GB" w:eastAsia="en-GB" w:bidi="en-GB"/>
        </w:rPr>
      </w:pPr>
    </w:p>
    <w:tbl>
      <w:tblPr>
        <w:tblStyle w:val="Reetkatablice"/>
        <w:tblW w:w="0" w:type="auto"/>
        <w:tblLook w:val="04A0" w:firstRow="1" w:lastRow="0" w:firstColumn="1" w:lastColumn="0" w:noHBand="0" w:noVBand="1"/>
      </w:tblPr>
      <w:tblGrid>
        <w:gridCol w:w="4531"/>
        <w:gridCol w:w="4531"/>
      </w:tblGrid>
      <w:tr w:rsidR="00AB0524" w:rsidRPr="00407108" w14:paraId="0C1F355A" w14:textId="77777777" w:rsidTr="00FD7217">
        <w:tc>
          <w:tcPr>
            <w:tcW w:w="4531" w:type="dxa"/>
            <w:vAlign w:val="center"/>
          </w:tcPr>
          <w:p w14:paraId="1837879B" w14:textId="77777777" w:rsidR="00AB0524" w:rsidRPr="00407108" w:rsidRDefault="00AB0524" w:rsidP="00FD7217">
            <w:pPr>
              <w:rPr>
                <w:rFonts w:ascii="Times New Roman" w:eastAsia="Calibri" w:hAnsi="Times New Roman" w:cs="Times New Roman"/>
              </w:rPr>
            </w:pPr>
            <w:r w:rsidRPr="00407108">
              <w:rPr>
                <w:rFonts w:ascii="Times New Roman" w:eastAsia="Calibri" w:hAnsi="Times New Roman" w:cs="Times New Roman"/>
              </w:rPr>
              <w:t>STANJE NENAPLAĆENIH POTRAŽIVANJA NA DAN 31.12.2024. GODINE</w:t>
            </w:r>
          </w:p>
        </w:tc>
        <w:tc>
          <w:tcPr>
            <w:tcW w:w="4531" w:type="dxa"/>
            <w:vAlign w:val="center"/>
          </w:tcPr>
          <w:p w14:paraId="255A1688" w14:textId="77777777" w:rsidR="00AB0524" w:rsidRPr="00407108" w:rsidRDefault="00AB0524" w:rsidP="00FD7217">
            <w:pPr>
              <w:jc w:val="right"/>
              <w:rPr>
                <w:rFonts w:ascii="Times New Roman" w:eastAsia="Calibri" w:hAnsi="Times New Roman" w:cs="Times New Roman"/>
              </w:rPr>
            </w:pPr>
            <w:r w:rsidRPr="00407108">
              <w:rPr>
                <w:rFonts w:ascii="Times New Roman" w:eastAsia="Calibri" w:hAnsi="Times New Roman" w:cs="Times New Roman"/>
              </w:rPr>
              <w:t>7.167,07 €</w:t>
            </w:r>
          </w:p>
        </w:tc>
      </w:tr>
      <w:tr w:rsidR="00AB0524" w:rsidRPr="00407108" w14:paraId="6EEF4749" w14:textId="77777777" w:rsidTr="00FD7217">
        <w:tc>
          <w:tcPr>
            <w:tcW w:w="4531" w:type="dxa"/>
            <w:vAlign w:val="center"/>
          </w:tcPr>
          <w:p w14:paraId="244E7E49" w14:textId="77777777" w:rsidR="00AB0524" w:rsidRPr="00407108" w:rsidRDefault="00AB0524" w:rsidP="00FD7217">
            <w:pPr>
              <w:rPr>
                <w:rFonts w:ascii="Times New Roman" w:eastAsia="Calibri" w:hAnsi="Times New Roman" w:cs="Times New Roman"/>
              </w:rPr>
            </w:pPr>
            <w:r w:rsidRPr="00407108">
              <w:rPr>
                <w:rFonts w:ascii="Times New Roman" w:eastAsia="Calibri" w:hAnsi="Times New Roman" w:cs="Times New Roman"/>
              </w:rPr>
              <w:t>STANJE NEPODMIRENIH DOSPJELIH OBVEZA NA DAN 31.12.2024.</w:t>
            </w:r>
          </w:p>
        </w:tc>
        <w:tc>
          <w:tcPr>
            <w:tcW w:w="4531" w:type="dxa"/>
            <w:vAlign w:val="center"/>
          </w:tcPr>
          <w:p w14:paraId="724F8005" w14:textId="77777777" w:rsidR="00AB0524" w:rsidRPr="00407108" w:rsidRDefault="00AB0524" w:rsidP="00FD7217">
            <w:pPr>
              <w:jc w:val="right"/>
              <w:rPr>
                <w:rFonts w:ascii="Times New Roman" w:eastAsia="Calibri" w:hAnsi="Times New Roman" w:cs="Times New Roman"/>
              </w:rPr>
            </w:pPr>
            <w:r w:rsidRPr="00407108">
              <w:rPr>
                <w:rFonts w:ascii="Times New Roman" w:eastAsia="Calibri" w:hAnsi="Times New Roman" w:cs="Times New Roman"/>
              </w:rPr>
              <w:t>0,00 €</w:t>
            </w:r>
          </w:p>
        </w:tc>
      </w:tr>
    </w:tbl>
    <w:p w14:paraId="6C8EA4F1" w14:textId="77777777" w:rsidR="00AB0524" w:rsidRPr="00407108" w:rsidRDefault="00AB0524" w:rsidP="00AB0524">
      <w:pPr>
        <w:rPr>
          <w:rFonts w:ascii="Times New Roman" w:eastAsia="Calibri" w:hAnsi="Times New Roman" w:cs="Times New Roman"/>
        </w:rPr>
      </w:pPr>
    </w:p>
    <w:p w14:paraId="375AA145" w14:textId="77777777" w:rsidR="00AB0524" w:rsidRPr="00407108" w:rsidRDefault="00AB0524" w:rsidP="00AB0524">
      <w:pPr>
        <w:rPr>
          <w:rFonts w:ascii="Times New Roman" w:eastAsia="Calibri" w:hAnsi="Times New Roman" w:cs="Times New Roman"/>
        </w:rPr>
      </w:pPr>
      <w:r w:rsidRPr="00407108">
        <w:rPr>
          <w:rFonts w:ascii="Times New Roman" w:eastAsia="Calibri" w:hAnsi="Times New Roman" w:cs="Times New Roman"/>
        </w:rPr>
        <w:t>Lučka uprava Slavonski Brod nema potencijalnih obveza po osnovi sudskih sporova na kraju 2024. godine.</w:t>
      </w:r>
    </w:p>
    <w:p w14:paraId="2AE9A750" w14:textId="77777777" w:rsidR="00AB0524" w:rsidRPr="00407108" w:rsidRDefault="00AB0524" w:rsidP="00AB0524">
      <w:pPr>
        <w:jc w:val="both"/>
        <w:rPr>
          <w:rFonts w:ascii="Times New Roman" w:eastAsia="Calibri" w:hAnsi="Times New Roman" w:cs="Times New Roman"/>
        </w:rPr>
      </w:pPr>
    </w:p>
    <w:p w14:paraId="60C47A55" w14:textId="77777777" w:rsidR="00AB0524" w:rsidRPr="00407108" w:rsidRDefault="00AB0524" w:rsidP="00AB0524">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34" w:name="_Toc161741001"/>
      <w:bookmarkStart w:id="35" w:name="_Toc193796450"/>
      <w:r w:rsidRPr="00407108">
        <w:rPr>
          <w:rFonts w:ascii="Times New Roman" w:eastAsia="Times New Roman" w:hAnsi="Times New Roman" w:cs="Times New Roman"/>
          <w:b/>
          <w:bCs/>
          <w:sz w:val="24"/>
          <w:szCs w:val="24"/>
          <w:lang w:val="en-GB" w:eastAsia="en-GB" w:bidi="en-GB"/>
        </w:rPr>
        <w:t>4.5. IZVJEŠTAJ O DANIM JAMSTVIMA I PLAĆANJIMA PO PROTESTIRANIM JAMSTVIMA</w:t>
      </w:r>
      <w:bookmarkEnd w:id="34"/>
      <w:bookmarkEnd w:id="35"/>
    </w:p>
    <w:p w14:paraId="6C95F9A6" w14:textId="77777777" w:rsidR="00AB0524" w:rsidRPr="00407108" w:rsidRDefault="00AB0524" w:rsidP="00AB0524">
      <w:pPr>
        <w:jc w:val="both"/>
        <w:rPr>
          <w:rFonts w:ascii="Times New Roman" w:eastAsia="Calibri" w:hAnsi="Times New Roman" w:cs="Times New Roman"/>
        </w:rPr>
      </w:pPr>
    </w:p>
    <w:p w14:paraId="50974F4A" w14:textId="77777777" w:rsidR="00AB0524" w:rsidRPr="00407108" w:rsidRDefault="00AB0524" w:rsidP="00AB0524">
      <w:pPr>
        <w:jc w:val="both"/>
        <w:rPr>
          <w:rFonts w:ascii="Times New Roman" w:eastAsia="Calibri" w:hAnsi="Times New Roman" w:cs="Times New Roman"/>
        </w:rPr>
      </w:pPr>
      <w:r w:rsidRPr="00407108">
        <w:rPr>
          <w:rFonts w:ascii="Times New Roman" w:eastAsia="Calibri" w:hAnsi="Times New Roman" w:cs="Times New Roman"/>
        </w:rPr>
        <w:t>Lučka uprava Slavonski Brod nema danih jamstava ili izvršenih plaćanja po protestiranim jamstvima  u periodu 01.01.2024. – 31.12.2024. godine.</w:t>
      </w:r>
    </w:p>
    <w:p w14:paraId="57C998A2" w14:textId="77777777" w:rsidR="00AB0524" w:rsidRPr="00407108" w:rsidRDefault="00AB0524" w:rsidP="00AB0524">
      <w:pPr>
        <w:rPr>
          <w:rFonts w:ascii="Times New Roman" w:hAnsi="Times New Roman" w:cs="Times New Roman"/>
        </w:rPr>
      </w:pPr>
    </w:p>
    <w:p w14:paraId="4C189546" w14:textId="77777777" w:rsidR="00DA52AA" w:rsidRPr="00407108" w:rsidRDefault="00DA52AA" w:rsidP="00407108">
      <w:pPr>
        <w:jc w:val="right"/>
        <w:rPr>
          <w:rFonts w:ascii="Times New Roman" w:hAnsi="Times New Roman" w:cs="Times New Roman"/>
          <w:sz w:val="24"/>
          <w:szCs w:val="24"/>
        </w:rPr>
      </w:pPr>
    </w:p>
    <w:p w14:paraId="2F7FF39F" w14:textId="77777777" w:rsidR="00407108" w:rsidRPr="00407108" w:rsidRDefault="00407108" w:rsidP="00407108">
      <w:pPr>
        <w:jc w:val="right"/>
        <w:rPr>
          <w:rFonts w:ascii="Times New Roman" w:hAnsi="Times New Roman" w:cs="Times New Roman"/>
          <w:sz w:val="24"/>
          <w:szCs w:val="24"/>
        </w:rPr>
      </w:pPr>
    </w:p>
    <w:p w14:paraId="738C5CF5" w14:textId="130133C8" w:rsidR="00407108" w:rsidRPr="00407108" w:rsidRDefault="00407108" w:rsidP="00407108">
      <w:pPr>
        <w:jc w:val="right"/>
        <w:rPr>
          <w:rFonts w:ascii="Times New Roman" w:hAnsi="Times New Roman" w:cs="Times New Roman"/>
          <w:b/>
          <w:bCs/>
          <w:sz w:val="24"/>
          <w:szCs w:val="24"/>
        </w:rPr>
      </w:pPr>
      <w:r w:rsidRPr="00407108">
        <w:rPr>
          <w:rFonts w:ascii="Times New Roman" w:hAnsi="Times New Roman" w:cs="Times New Roman"/>
          <w:b/>
          <w:bCs/>
          <w:sz w:val="24"/>
          <w:szCs w:val="24"/>
        </w:rPr>
        <w:t>RAVNATELJ:</w:t>
      </w:r>
    </w:p>
    <w:p w14:paraId="259EEC3A" w14:textId="77777777" w:rsidR="00407108" w:rsidRPr="00407108" w:rsidRDefault="00407108" w:rsidP="00407108">
      <w:pPr>
        <w:jc w:val="right"/>
        <w:rPr>
          <w:rFonts w:ascii="Times New Roman" w:hAnsi="Times New Roman" w:cs="Times New Roman"/>
          <w:b/>
          <w:bCs/>
          <w:sz w:val="24"/>
          <w:szCs w:val="24"/>
        </w:rPr>
      </w:pPr>
    </w:p>
    <w:p w14:paraId="12F2F351" w14:textId="4E55DE4F" w:rsidR="00407108" w:rsidRPr="00407108" w:rsidRDefault="00407108" w:rsidP="00407108">
      <w:pPr>
        <w:ind w:left="708"/>
        <w:jc w:val="right"/>
        <w:rPr>
          <w:rFonts w:ascii="Times New Roman" w:hAnsi="Times New Roman" w:cs="Times New Roman"/>
          <w:b/>
          <w:bCs/>
          <w:sz w:val="24"/>
          <w:szCs w:val="24"/>
        </w:rPr>
      </w:pPr>
      <w:r w:rsidRPr="00407108">
        <w:rPr>
          <w:rFonts w:ascii="Times New Roman" w:hAnsi="Times New Roman" w:cs="Times New Roman"/>
          <w:b/>
          <w:bCs/>
          <w:sz w:val="24"/>
          <w:szCs w:val="24"/>
        </w:rPr>
        <w:t>Marijan Jurić, dipl. ing.</w:t>
      </w:r>
    </w:p>
    <w:sectPr w:rsidR="00407108" w:rsidRPr="00407108" w:rsidSect="00AB05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9ABF" w14:textId="77777777" w:rsidR="00900205" w:rsidRDefault="00900205" w:rsidP="00C20DD5">
      <w:pPr>
        <w:spacing w:after="0" w:line="240" w:lineRule="auto"/>
      </w:pPr>
      <w:r>
        <w:separator/>
      </w:r>
    </w:p>
  </w:endnote>
  <w:endnote w:type="continuationSeparator" w:id="0">
    <w:p w14:paraId="4582A73B" w14:textId="77777777" w:rsidR="00900205" w:rsidRDefault="00900205" w:rsidP="00C2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A6" w14:textId="77777777" w:rsidR="0002409D" w:rsidRPr="003D7F19" w:rsidRDefault="0002409D" w:rsidP="00A36966">
    <w:pPr>
      <w:pStyle w:val="Podnoje"/>
      <w:jc w:val="center"/>
      <w:rPr>
        <w:caps/>
        <w:color w:val="4472C4"/>
      </w:rPr>
    </w:pPr>
    <w:r w:rsidRPr="003D7F19">
      <w:rPr>
        <w:caps/>
        <w:color w:val="4472C4"/>
      </w:rPr>
      <w:fldChar w:fldCharType="begin"/>
    </w:r>
    <w:r w:rsidRPr="003D7F19">
      <w:rPr>
        <w:caps/>
        <w:color w:val="4472C4"/>
      </w:rPr>
      <w:instrText>PAGE   \* MERGEFORMAT</w:instrText>
    </w:r>
    <w:r w:rsidRPr="003D7F19">
      <w:rPr>
        <w:caps/>
        <w:color w:val="4472C4"/>
      </w:rPr>
      <w:fldChar w:fldCharType="separate"/>
    </w:r>
    <w:r w:rsidR="002039F9" w:rsidRPr="003D7F19">
      <w:rPr>
        <w:caps/>
        <w:noProof/>
        <w:color w:val="4472C4"/>
      </w:rPr>
      <w:t>1</w:t>
    </w:r>
    <w:r w:rsidR="002039F9" w:rsidRPr="003D7F19">
      <w:rPr>
        <w:caps/>
        <w:noProof/>
        <w:color w:val="4472C4"/>
      </w:rPr>
      <w:t>0</w:t>
    </w:r>
    <w:r w:rsidRPr="003D7F19">
      <w:rPr>
        <w:caps/>
        <w:color w:val="4472C4"/>
      </w:rPr>
      <w:fldChar w:fldCharType="end"/>
    </w:r>
  </w:p>
  <w:p w14:paraId="07DF3846" w14:textId="77777777" w:rsidR="00403313" w:rsidRDefault="004033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F035" w14:textId="77777777" w:rsidR="00900205" w:rsidRDefault="00900205" w:rsidP="00C20DD5">
      <w:pPr>
        <w:spacing w:after="0" w:line="240" w:lineRule="auto"/>
      </w:pPr>
      <w:r>
        <w:separator/>
      </w:r>
    </w:p>
  </w:footnote>
  <w:footnote w:type="continuationSeparator" w:id="0">
    <w:p w14:paraId="0DCF10AD" w14:textId="77777777" w:rsidR="00900205" w:rsidRDefault="00900205" w:rsidP="00C2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DD4D" w14:textId="77777777" w:rsidR="0002409D" w:rsidRDefault="0002409D" w:rsidP="001D1CDE">
    <w:pPr>
      <w:pStyle w:val="Zaglavlje"/>
    </w:pPr>
  </w:p>
  <w:p w14:paraId="7F4FA5B1" w14:textId="77777777" w:rsidR="001D1CDE" w:rsidRPr="001D1CDE" w:rsidRDefault="001D1CDE" w:rsidP="001D1CD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32143"/>
    <w:multiLevelType w:val="hybridMultilevel"/>
    <w:tmpl w:val="27A8A31E"/>
    <w:lvl w:ilvl="0" w:tplc="4D424EA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7307A1"/>
    <w:multiLevelType w:val="multilevel"/>
    <w:tmpl w:val="A2066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A2424C8"/>
    <w:multiLevelType w:val="multilevel"/>
    <w:tmpl w:val="E3C0E724"/>
    <w:lvl w:ilvl="0">
      <w:start w:val="1"/>
      <w:numFmt w:val="upperRoman"/>
      <w:lvlText w:val="%1."/>
      <w:lvlJc w:val="right"/>
      <w:pPr>
        <w:ind w:left="720" w:hanging="360"/>
      </w:pPr>
      <w:rPr>
        <w:rFonts w:hint="default"/>
      </w:rPr>
    </w:lvl>
    <w:lvl w:ilvl="1">
      <w:start w:val="1"/>
      <w:numFmt w:val="upp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E686108"/>
    <w:multiLevelType w:val="multilevel"/>
    <w:tmpl w:val="69F43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1385259"/>
    <w:multiLevelType w:val="multilevel"/>
    <w:tmpl w:val="3A52BDA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54951A67"/>
    <w:multiLevelType w:val="hybridMultilevel"/>
    <w:tmpl w:val="74C42820"/>
    <w:lvl w:ilvl="0" w:tplc="FA10BD86">
      <w:start w:val="1"/>
      <w:numFmt w:val="bullet"/>
      <w:lvlText w:val="-"/>
      <w:lvlJc w:val="left"/>
      <w:pPr>
        <w:ind w:left="1080" w:hanging="360"/>
      </w:pPr>
      <w:rPr>
        <w:rFonts w:ascii="Calibri" w:eastAsiaTheme="minorHAns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8C65A5F"/>
    <w:multiLevelType w:val="hybridMultilevel"/>
    <w:tmpl w:val="51BE6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FA4D13"/>
    <w:multiLevelType w:val="multilevel"/>
    <w:tmpl w:val="3A52BDA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63341C08"/>
    <w:multiLevelType w:val="hybridMultilevel"/>
    <w:tmpl w:val="59B86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556EB6"/>
    <w:multiLevelType w:val="hybridMultilevel"/>
    <w:tmpl w:val="47E0CAC4"/>
    <w:lvl w:ilvl="0" w:tplc="6E2AB8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7153E70"/>
    <w:multiLevelType w:val="hybridMultilevel"/>
    <w:tmpl w:val="56627022"/>
    <w:lvl w:ilvl="0" w:tplc="945C345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0058767">
    <w:abstractNumId w:val="6"/>
  </w:num>
  <w:num w:numId="2" w16cid:durableId="1055200247">
    <w:abstractNumId w:val="1"/>
  </w:num>
  <w:num w:numId="3" w16cid:durableId="1276597317">
    <w:abstractNumId w:val="4"/>
  </w:num>
  <w:num w:numId="4" w16cid:durableId="882905906">
    <w:abstractNumId w:val="3"/>
  </w:num>
  <w:num w:numId="5" w16cid:durableId="1830748580">
    <w:abstractNumId w:val="8"/>
  </w:num>
  <w:num w:numId="6" w16cid:durableId="814643448">
    <w:abstractNumId w:val="7"/>
  </w:num>
  <w:num w:numId="7" w16cid:durableId="1792090807">
    <w:abstractNumId w:val="0"/>
  </w:num>
  <w:num w:numId="8" w16cid:durableId="1005476834">
    <w:abstractNumId w:val="5"/>
  </w:num>
  <w:num w:numId="9" w16cid:durableId="1562709075">
    <w:abstractNumId w:val="10"/>
  </w:num>
  <w:num w:numId="10" w16cid:durableId="1866362218">
    <w:abstractNumId w:val="2"/>
  </w:num>
  <w:num w:numId="11" w16cid:durableId="2137329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13"/>
    <w:rsid w:val="00012FBB"/>
    <w:rsid w:val="00013DC0"/>
    <w:rsid w:val="00014BA0"/>
    <w:rsid w:val="00015289"/>
    <w:rsid w:val="00015D2D"/>
    <w:rsid w:val="00016CD5"/>
    <w:rsid w:val="0001713E"/>
    <w:rsid w:val="00020689"/>
    <w:rsid w:val="0002409D"/>
    <w:rsid w:val="00025AB2"/>
    <w:rsid w:val="000267E3"/>
    <w:rsid w:val="00027F39"/>
    <w:rsid w:val="00032F20"/>
    <w:rsid w:val="000348BB"/>
    <w:rsid w:val="000372E9"/>
    <w:rsid w:val="00041C1C"/>
    <w:rsid w:val="00047B4C"/>
    <w:rsid w:val="00052145"/>
    <w:rsid w:val="00054FC9"/>
    <w:rsid w:val="000564A5"/>
    <w:rsid w:val="00060925"/>
    <w:rsid w:val="00072BD9"/>
    <w:rsid w:val="000860C9"/>
    <w:rsid w:val="0009091A"/>
    <w:rsid w:val="00093281"/>
    <w:rsid w:val="0009676E"/>
    <w:rsid w:val="000B26CE"/>
    <w:rsid w:val="000B6687"/>
    <w:rsid w:val="000B7D89"/>
    <w:rsid w:val="000C7302"/>
    <w:rsid w:val="000D0E54"/>
    <w:rsid w:val="000D32A6"/>
    <w:rsid w:val="000D6C6F"/>
    <w:rsid w:val="000E36D6"/>
    <w:rsid w:val="00111DE9"/>
    <w:rsid w:val="001131F3"/>
    <w:rsid w:val="001261C4"/>
    <w:rsid w:val="00127A26"/>
    <w:rsid w:val="0013066B"/>
    <w:rsid w:val="00132665"/>
    <w:rsid w:val="00140B4E"/>
    <w:rsid w:val="00150981"/>
    <w:rsid w:val="00150B6B"/>
    <w:rsid w:val="00157ECA"/>
    <w:rsid w:val="001649D9"/>
    <w:rsid w:val="00166461"/>
    <w:rsid w:val="00170945"/>
    <w:rsid w:val="001728BC"/>
    <w:rsid w:val="00176B47"/>
    <w:rsid w:val="00176CAA"/>
    <w:rsid w:val="00186AC6"/>
    <w:rsid w:val="001A5637"/>
    <w:rsid w:val="001B2191"/>
    <w:rsid w:val="001B469B"/>
    <w:rsid w:val="001B54FD"/>
    <w:rsid w:val="001B5907"/>
    <w:rsid w:val="001B6D89"/>
    <w:rsid w:val="001B76F3"/>
    <w:rsid w:val="001C3678"/>
    <w:rsid w:val="001D12A8"/>
    <w:rsid w:val="001D1CDE"/>
    <w:rsid w:val="001D3F52"/>
    <w:rsid w:val="001D5696"/>
    <w:rsid w:val="001D5B6D"/>
    <w:rsid w:val="001D7E5B"/>
    <w:rsid w:val="001E495E"/>
    <w:rsid w:val="001F3335"/>
    <w:rsid w:val="001F5D0C"/>
    <w:rsid w:val="00200525"/>
    <w:rsid w:val="002039F9"/>
    <w:rsid w:val="002066DB"/>
    <w:rsid w:val="0021277E"/>
    <w:rsid w:val="00214115"/>
    <w:rsid w:val="00214511"/>
    <w:rsid w:val="00220DA5"/>
    <w:rsid w:val="00222F83"/>
    <w:rsid w:val="0023054F"/>
    <w:rsid w:val="00234F2B"/>
    <w:rsid w:val="0023669B"/>
    <w:rsid w:val="00236A4A"/>
    <w:rsid w:val="00240353"/>
    <w:rsid w:val="00255DE2"/>
    <w:rsid w:val="0025698C"/>
    <w:rsid w:val="00263B02"/>
    <w:rsid w:val="00264B20"/>
    <w:rsid w:val="00264CFD"/>
    <w:rsid w:val="00272601"/>
    <w:rsid w:val="002A0E6C"/>
    <w:rsid w:val="002A2683"/>
    <w:rsid w:val="002A3E36"/>
    <w:rsid w:val="002A5340"/>
    <w:rsid w:val="002A7B94"/>
    <w:rsid w:val="002B09F5"/>
    <w:rsid w:val="002B2731"/>
    <w:rsid w:val="002B7CCE"/>
    <w:rsid w:val="002B7EC6"/>
    <w:rsid w:val="002C21FB"/>
    <w:rsid w:val="002D17FD"/>
    <w:rsid w:val="002D19DC"/>
    <w:rsid w:val="002D2E2E"/>
    <w:rsid w:val="002D575B"/>
    <w:rsid w:val="002D5BFA"/>
    <w:rsid w:val="002E3676"/>
    <w:rsid w:val="002E5416"/>
    <w:rsid w:val="002F2D6D"/>
    <w:rsid w:val="002F5682"/>
    <w:rsid w:val="002F5C59"/>
    <w:rsid w:val="002F7F75"/>
    <w:rsid w:val="00303899"/>
    <w:rsid w:val="00306FCA"/>
    <w:rsid w:val="00310302"/>
    <w:rsid w:val="00314B55"/>
    <w:rsid w:val="0031707F"/>
    <w:rsid w:val="00327C88"/>
    <w:rsid w:val="00331347"/>
    <w:rsid w:val="003405F0"/>
    <w:rsid w:val="00341AE2"/>
    <w:rsid w:val="00364753"/>
    <w:rsid w:val="003647A2"/>
    <w:rsid w:val="0036500B"/>
    <w:rsid w:val="00365B03"/>
    <w:rsid w:val="00371112"/>
    <w:rsid w:val="00372074"/>
    <w:rsid w:val="00387976"/>
    <w:rsid w:val="00394A18"/>
    <w:rsid w:val="003A3CCD"/>
    <w:rsid w:val="003A4822"/>
    <w:rsid w:val="003A6332"/>
    <w:rsid w:val="003B3E27"/>
    <w:rsid w:val="003B6509"/>
    <w:rsid w:val="003C4D33"/>
    <w:rsid w:val="003C6202"/>
    <w:rsid w:val="003C641D"/>
    <w:rsid w:val="003D2566"/>
    <w:rsid w:val="003D5209"/>
    <w:rsid w:val="003D6968"/>
    <w:rsid w:val="003D70C4"/>
    <w:rsid w:val="003D70C5"/>
    <w:rsid w:val="003D7F19"/>
    <w:rsid w:val="003E197D"/>
    <w:rsid w:val="003E3668"/>
    <w:rsid w:val="003F1D33"/>
    <w:rsid w:val="003F6E61"/>
    <w:rsid w:val="00402CF5"/>
    <w:rsid w:val="00403313"/>
    <w:rsid w:val="00407108"/>
    <w:rsid w:val="0041216E"/>
    <w:rsid w:val="00414BC0"/>
    <w:rsid w:val="00423A57"/>
    <w:rsid w:val="00431362"/>
    <w:rsid w:val="004410C8"/>
    <w:rsid w:val="0044177F"/>
    <w:rsid w:val="00444670"/>
    <w:rsid w:val="00452071"/>
    <w:rsid w:val="00454D58"/>
    <w:rsid w:val="00463B32"/>
    <w:rsid w:val="004718A2"/>
    <w:rsid w:val="00480831"/>
    <w:rsid w:val="00487E99"/>
    <w:rsid w:val="004971A4"/>
    <w:rsid w:val="004A3210"/>
    <w:rsid w:val="004B1560"/>
    <w:rsid w:val="004B2252"/>
    <w:rsid w:val="004B3AD5"/>
    <w:rsid w:val="004B5E1F"/>
    <w:rsid w:val="004C5D48"/>
    <w:rsid w:val="004D4A0F"/>
    <w:rsid w:val="004D58EB"/>
    <w:rsid w:val="004E275B"/>
    <w:rsid w:val="004E2FF3"/>
    <w:rsid w:val="004E31C2"/>
    <w:rsid w:val="004E5202"/>
    <w:rsid w:val="004F0BE0"/>
    <w:rsid w:val="004F43BD"/>
    <w:rsid w:val="004F7D26"/>
    <w:rsid w:val="005017C6"/>
    <w:rsid w:val="005061AA"/>
    <w:rsid w:val="00507A63"/>
    <w:rsid w:val="005103D0"/>
    <w:rsid w:val="00510886"/>
    <w:rsid w:val="00512F5B"/>
    <w:rsid w:val="00513BC7"/>
    <w:rsid w:val="00516190"/>
    <w:rsid w:val="0052553B"/>
    <w:rsid w:val="00530BD4"/>
    <w:rsid w:val="00531291"/>
    <w:rsid w:val="0054431B"/>
    <w:rsid w:val="00552455"/>
    <w:rsid w:val="0056393D"/>
    <w:rsid w:val="00566B9B"/>
    <w:rsid w:val="00570C6C"/>
    <w:rsid w:val="005739D4"/>
    <w:rsid w:val="00581961"/>
    <w:rsid w:val="00581998"/>
    <w:rsid w:val="00592438"/>
    <w:rsid w:val="005978E9"/>
    <w:rsid w:val="005A1C5A"/>
    <w:rsid w:val="005A7452"/>
    <w:rsid w:val="005B2A0E"/>
    <w:rsid w:val="005B4BF7"/>
    <w:rsid w:val="005B4E14"/>
    <w:rsid w:val="005C6F7E"/>
    <w:rsid w:val="005D0373"/>
    <w:rsid w:val="005D09DA"/>
    <w:rsid w:val="005D0D4F"/>
    <w:rsid w:val="005D2D8E"/>
    <w:rsid w:val="005E0DE3"/>
    <w:rsid w:val="005E3951"/>
    <w:rsid w:val="005E6AD7"/>
    <w:rsid w:val="005F43E9"/>
    <w:rsid w:val="005F6564"/>
    <w:rsid w:val="00605274"/>
    <w:rsid w:val="00605F19"/>
    <w:rsid w:val="0061434E"/>
    <w:rsid w:val="006145DD"/>
    <w:rsid w:val="0061759D"/>
    <w:rsid w:val="0063069A"/>
    <w:rsid w:val="00643F6E"/>
    <w:rsid w:val="0065031F"/>
    <w:rsid w:val="0065646D"/>
    <w:rsid w:val="00661460"/>
    <w:rsid w:val="006616D8"/>
    <w:rsid w:val="006627D0"/>
    <w:rsid w:val="00687C81"/>
    <w:rsid w:val="006906C1"/>
    <w:rsid w:val="00692561"/>
    <w:rsid w:val="006A1A9B"/>
    <w:rsid w:val="006A36FB"/>
    <w:rsid w:val="006A62A1"/>
    <w:rsid w:val="006C21CD"/>
    <w:rsid w:val="006C23AF"/>
    <w:rsid w:val="006C370C"/>
    <w:rsid w:val="006C5E65"/>
    <w:rsid w:val="006D0F5D"/>
    <w:rsid w:val="006D1EBD"/>
    <w:rsid w:val="006D37E1"/>
    <w:rsid w:val="006E4E76"/>
    <w:rsid w:val="006F0B9D"/>
    <w:rsid w:val="006F3F97"/>
    <w:rsid w:val="0070030D"/>
    <w:rsid w:val="00701256"/>
    <w:rsid w:val="00702AA3"/>
    <w:rsid w:val="007035C4"/>
    <w:rsid w:val="007124EB"/>
    <w:rsid w:val="007129A5"/>
    <w:rsid w:val="00716848"/>
    <w:rsid w:val="0071768D"/>
    <w:rsid w:val="00725641"/>
    <w:rsid w:val="00725A16"/>
    <w:rsid w:val="00727DA5"/>
    <w:rsid w:val="007356AE"/>
    <w:rsid w:val="00737CF5"/>
    <w:rsid w:val="007403ED"/>
    <w:rsid w:val="00741924"/>
    <w:rsid w:val="0074636D"/>
    <w:rsid w:val="007572F4"/>
    <w:rsid w:val="00761B34"/>
    <w:rsid w:val="00762B5F"/>
    <w:rsid w:val="00762E4F"/>
    <w:rsid w:val="00775B57"/>
    <w:rsid w:val="00792D41"/>
    <w:rsid w:val="007A1822"/>
    <w:rsid w:val="007A4BE0"/>
    <w:rsid w:val="007B01DA"/>
    <w:rsid w:val="007C5AD3"/>
    <w:rsid w:val="007D1674"/>
    <w:rsid w:val="007D4369"/>
    <w:rsid w:val="007E1603"/>
    <w:rsid w:val="007E3564"/>
    <w:rsid w:val="007F06C1"/>
    <w:rsid w:val="007F0ECA"/>
    <w:rsid w:val="007F12AD"/>
    <w:rsid w:val="007F2370"/>
    <w:rsid w:val="008031DA"/>
    <w:rsid w:val="008052AA"/>
    <w:rsid w:val="0080730F"/>
    <w:rsid w:val="00807D85"/>
    <w:rsid w:val="008131CF"/>
    <w:rsid w:val="00813F83"/>
    <w:rsid w:val="00815CBF"/>
    <w:rsid w:val="0081620D"/>
    <w:rsid w:val="0081674E"/>
    <w:rsid w:val="008274BC"/>
    <w:rsid w:val="00840BD9"/>
    <w:rsid w:val="00840C8C"/>
    <w:rsid w:val="008462E1"/>
    <w:rsid w:val="0084630F"/>
    <w:rsid w:val="00851259"/>
    <w:rsid w:val="008533D6"/>
    <w:rsid w:val="00853B8E"/>
    <w:rsid w:val="00864629"/>
    <w:rsid w:val="008676F0"/>
    <w:rsid w:val="00870B11"/>
    <w:rsid w:val="00875C9E"/>
    <w:rsid w:val="00882C24"/>
    <w:rsid w:val="00891EF3"/>
    <w:rsid w:val="0089282E"/>
    <w:rsid w:val="00895170"/>
    <w:rsid w:val="008A63A5"/>
    <w:rsid w:val="008A7741"/>
    <w:rsid w:val="008B1D9B"/>
    <w:rsid w:val="008B61C5"/>
    <w:rsid w:val="008C1925"/>
    <w:rsid w:val="008C2CAC"/>
    <w:rsid w:val="008D4956"/>
    <w:rsid w:val="008F22C7"/>
    <w:rsid w:val="008F6ED5"/>
    <w:rsid w:val="00900205"/>
    <w:rsid w:val="00901B61"/>
    <w:rsid w:val="00910EBA"/>
    <w:rsid w:val="009136CF"/>
    <w:rsid w:val="00920400"/>
    <w:rsid w:val="00920756"/>
    <w:rsid w:val="00925D41"/>
    <w:rsid w:val="00930D4C"/>
    <w:rsid w:val="0094226C"/>
    <w:rsid w:val="00942440"/>
    <w:rsid w:val="009446F9"/>
    <w:rsid w:val="00951C37"/>
    <w:rsid w:val="00954D7C"/>
    <w:rsid w:val="0095577D"/>
    <w:rsid w:val="009567E5"/>
    <w:rsid w:val="00963977"/>
    <w:rsid w:val="009673C9"/>
    <w:rsid w:val="009709E9"/>
    <w:rsid w:val="0097340B"/>
    <w:rsid w:val="00973427"/>
    <w:rsid w:val="00987C78"/>
    <w:rsid w:val="00990372"/>
    <w:rsid w:val="0099765B"/>
    <w:rsid w:val="009A1F37"/>
    <w:rsid w:val="009A652D"/>
    <w:rsid w:val="009A6FF5"/>
    <w:rsid w:val="009B01A2"/>
    <w:rsid w:val="009B084F"/>
    <w:rsid w:val="009C033B"/>
    <w:rsid w:val="009C05E8"/>
    <w:rsid w:val="009C099A"/>
    <w:rsid w:val="009C2394"/>
    <w:rsid w:val="009C5DBD"/>
    <w:rsid w:val="009C7B00"/>
    <w:rsid w:val="009D1FE7"/>
    <w:rsid w:val="009D334B"/>
    <w:rsid w:val="009D7960"/>
    <w:rsid w:val="009E1016"/>
    <w:rsid w:val="009E1D83"/>
    <w:rsid w:val="009E20CF"/>
    <w:rsid w:val="009E2275"/>
    <w:rsid w:val="009E50D9"/>
    <w:rsid w:val="009E6B03"/>
    <w:rsid w:val="009F3A19"/>
    <w:rsid w:val="00A016FC"/>
    <w:rsid w:val="00A0448D"/>
    <w:rsid w:val="00A06927"/>
    <w:rsid w:val="00A143BA"/>
    <w:rsid w:val="00A16A4E"/>
    <w:rsid w:val="00A1732D"/>
    <w:rsid w:val="00A331AF"/>
    <w:rsid w:val="00A343BD"/>
    <w:rsid w:val="00A36966"/>
    <w:rsid w:val="00A46313"/>
    <w:rsid w:val="00A60413"/>
    <w:rsid w:val="00A646F4"/>
    <w:rsid w:val="00A65EB1"/>
    <w:rsid w:val="00A70688"/>
    <w:rsid w:val="00A91DD1"/>
    <w:rsid w:val="00A929E3"/>
    <w:rsid w:val="00A97D7B"/>
    <w:rsid w:val="00AA6BE1"/>
    <w:rsid w:val="00AB0524"/>
    <w:rsid w:val="00AB284A"/>
    <w:rsid w:val="00AB5D06"/>
    <w:rsid w:val="00AB6A41"/>
    <w:rsid w:val="00AC3A22"/>
    <w:rsid w:val="00AC3F06"/>
    <w:rsid w:val="00AC42ED"/>
    <w:rsid w:val="00AD24F4"/>
    <w:rsid w:val="00AD2896"/>
    <w:rsid w:val="00AD6C9F"/>
    <w:rsid w:val="00AD6FFE"/>
    <w:rsid w:val="00AE3314"/>
    <w:rsid w:val="00AF662A"/>
    <w:rsid w:val="00B01787"/>
    <w:rsid w:val="00B07225"/>
    <w:rsid w:val="00B074A4"/>
    <w:rsid w:val="00B25A5F"/>
    <w:rsid w:val="00B31BDA"/>
    <w:rsid w:val="00B35899"/>
    <w:rsid w:val="00B37E00"/>
    <w:rsid w:val="00B43B05"/>
    <w:rsid w:val="00B46787"/>
    <w:rsid w:val="00B63FB1"/>
    <w:rsid w:val="00B6570D"/>
    <w:rsid w:val="00B67EB0"/>
    <w:rsid w:val="00B734CB"/>
    <w:rsid w:val="00B74032"/>
    <w:rsid w:val="00B8295B"/>
    <w:rsid w:val="00B87E70"/>
    <w:rsid w:val="00B9697F"/>
    <w:rsid w:val="00BA1340"/>
    <w:rsid w:val="00BA715F"/>
    <w:rsid w:val="00BB15DF"/>
    <w:rsid w:val="00BC416A"/>
    <w:rsid w:val="00BC50E8"/>
    <w:rsid w:val="00BD30A8"/>
    <w:rsid w:val="00BE096F"/>
    <w:rsid w:val="00BE28FD"/>
    <w:rsid w:val="00BE3FFF"/>
    <w:rsid w:val="00BE7456"/>
    <w:rsid w:val="00BF5F8E"/>
    <w:rsid w:val="00C006AA"/>
    <w:rsid w:val="00C02F5E"/>
    <w:rsid w:val="00C0424B"/>
    <w:rsid w:val="00C04771"/>
    <w:rsid w:val="00C05023"/>
    <w:rsid w:val="00C06E30"/>
    <w:rsid w:val="00C20D09"/>
    <w:rsid w:val="00C20DD5"/>
    <w:rsid w:val="00C235E8"/>
    <w:rsid w:val="00C248DB"/>
    <w:rsid w:val="00C32B4A"/>
    <w:rsid w:val="00C32D25"/>
    <w:rsid w:val="00C464F4"/>
    <w:rsid w:val="00C51AB4"/>
    <w:rsid w:val="00C52522"/>
    <w:rsid w:val="00C70143"/>
    <w:rsid w:val="00C73022"/>
    <w:rsid w:val="00C74984"/>
    <w:rsid w:val="00C77F74"/>
    <w:rsid w:val="00C82FEF"/>
    <w:rsid w:val="00C83E34"/>
    <w:rsid w:val="00C85D0F"/>
    <w:rsid w:val="00C90FA4"/>
    <w:rsid w:val="00C9395A"/>
    <w:rsid w:val="00C963C9"/>
    <w:rsid w:val="00C96D43"/>
    <w:rsid w:val="00CA7433"/>
    <w:rsid w:val="00CB10B4"/>
    <w:rsid w:val="00CB5232"/>
    <w:rsid w:val="00CC11E5"/>
    <w:rsid w:val="00CC3C02"/>
    <w:rsid w:val="00CC4533"/>
    <w:rsid w:val="00CD59CF"/>
    <w:rsid w:val="00CE6CF2"/>
    <w:rsid w:val="00CF1C9E"/>
    <w:rsid w:val="00D015FD"/>
    <w:rsid w:val="00D07E48"/>
    <w:rsid w:val="00D2101F"/>
    <w:rsid w:val="00D22017"/>
    <w:rsid w:val="00D37D04"/>
    <w:rsid w:val="00D4057A"/>
    <w:rsid w:val="00D45DA9"/>
    <w:rsid w:val="00D520E4"/>
    <w:rsid w:val="00D6373A"/>
    <w:rsid w:val="00D6710F"/>
    <w:rsid w:val="00D734B8"/>
    <w:rsid w:val="00D838F2"/>
    <w:rsid w:val="00D84E62"/>
    <w:rsid w:val="00D92655"/>
    <w:rsid w:val="00DA3ACF"/>
    <w:rsid w:val="00DA52AA"/>
    <w:rsid w:val="00DA78EE"/>
    <w:rsid w:val="00DB2B36"/>
    <w:rsid w:val="00DB5D5A"/>
    <w:rsid w:val="00DC0715"/>
    <w:rsid w:val="00DC1D69"/>
    <w:rsid w:val="00DC5122"/>
    <w:rsid w:val="00DC74DD"/>
    <w:rsid w:val="00DD5747"/>
    <w:rsid w:val="00DD6681"/>
    <w:rsid w:val="00DD6C51"/>
    <w:rsid w:val="00DE4B66"/>
    <w:rsid w:val="00DF1C11"/>
    <w:rsid w:val="00DF48E2"/>
    <w:rsid w:val="00E00F21"/>
    <w:rsid w:val="00E03415"/>
    <w:rsid w:val="00E039A4"/>
    <w:rsid w:val="00E0557B"/>
    <w:rsid w:val="00E10594"/>
    <w:rsid w:val="00E2005B"/>
    <w:rsid w:val="00E2437E"/>
    <w:rsid w:val="00E2685F"/>
    <w:rsid w:val="00E34B4D"/>
    <w:rsid w:val="00E428E9"/>
    <w:rsid w:val="00E42E5C"/>
    <w:rsid w:val="00E46EB6"/>
    <w:rsid w:val="00E5117B"/>
    <w:rsid w:val="00E5271C"/>
    <w:rsid w:val="00E54A2C"/>
    <w:rsid w:val="00E56058"/>
    <w:rsid w:val="00E6662D"/>
    <w:rsid w:val="00E73C0B"/>
    <w:rsid w:val="00E808A9"/>
    <w:rsid w:val="00E854D1"/>
    <w:rsid w:val="00E87299"/>
    <w:rsid w:val="00E87D5F"/>
    <w:rsid w:val="00E902CE"/>
    <w:rsid w:val="00E912FA"/>
    <w:rsid w:val="00EA026C"/>
    <w:rsid w:val="00EA208D"/>
    <w:rsid w:val="00EA2414"/>
    <w:rsid w:val="00EB239D"/>
    <w:rsid w:val="00EB63C1"/>
    <w:rsid w:val="00EC5085"/>
    <w:rsid w:val="00ED1E92"/>
    <w:rsid w:val="00EE7850"/>
    <w:rsid w:val="00EF5344"/>
    <w:rsid w:val="00F02FE0"/>
    <w:rsid w:val="00F05613"/>
    <w:rsid w:val="00F106BB"/>
    <w:rsid w:val="00F10DC7"/>
    <w:rsid w:val="00F15F6F"/>
    <w:rsid w:val="00F2017D"/>
    <w:rsid w:val="00F251DF"/>
    <w:rsid w:val="00F25F9C"/>
    <w:rsid w:val="00F4138D"/>
    <w:rsid w:val="00F44037"/>
    <w:rsid w:val="00F442B1"/>
    <w:rsid w:val="00F501EA"/>
    <w:rsid w:val="00F52CAC"/>
    <w:rsid w:val="00F60A5B"/>
    <w:rsid w:val="00F6567A"/>
    <w:rsid w:val="00F7187B"/>
    <w:rsid w:val="00F820E3"/>
    <w:rsid w:val="00F8553A"/>
    <w:rsid w:val="00F905CC"/>
    <w:rsid w:val="00F93A21"/>
    <w:rsid w:val="00F96DF8"/>
    <w:rsid w:val="00FA54EF"/>
    <w:rsid w:val="00FA6D0C"/>
    <w:rsid w:val="00FA710B"/>
    <w:rsid w:val="00FB069F"/>
    <w:rsid w:val="00FB1AE0"/>
    <w:rsid w:val="00FC0A49"/>
    <w:rsid w:val="00FC5BD7"/>
    <w:rsid w:val="00FC71F3"/>
    <w:rsid w:val="00FC7EF2"/>
    <w:rsid w:val="00FD24F7"/>
    <w:rsid w:val="00FF0066"/>
    <w:rsid w:val="00FF3DE0"/>
    <w:rsid w:val="00FF50F1"/>
    <w:rsid w:val="00FF74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762A1AF"/>
  <w15:docId w15:val="{11AF0CAC-22D8-4903-93F9-1BEEEAB6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9A1F37"/>
    <w:pPr>
      <w:widowControl w:val="0"/>
      <w:autoSpaceDE w:val="0"/>
      <w:autoSpaceDN w:val="0"/>
      <w:spacing w:after="0" w:line="240" w:lineRule="auto"/>
      <w:ind w:left="300"/>
      <w:outlineLvl w:val="0"/>
    </w:pPr>
    <w:rPr>
      <w:rFonts w:ascii="Times New Roman" w:eastAsia="Times New Roman" w:hAnsi="Times New Roman" w:cs="Times New Roman"/>
      <w:b/>
      <w:bCs/>
      <w:sz w:val="24"/>
      <w:szCs w:val="24"/>
      <w:lang w:val="en-GB" w:eastAsia="en-GB" w:bidi="en-GB"/>
    </w:rPr>
  </w:style>
  <w:style w:type="paragraph" w:styleId="Naslov2">
    <w:name w:val="heading 2"/>
    <w:basedOn w:val="Normal"/>
    <w:next w:val="Normal"/>
    <w:link w:val="Naslov2Char"/>
    <w:uiPriority w:val="9"/>
    <w:semiHidden/>
    <w:unhideWhenUsed/>
    <w:qFormat/>
    <w:rsid w:val="00FB0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FB06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FB06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8">
    <w:name w:val="heading 8"/>
    <w:basedOn w:val="Normal"/>
    <w:next w:val="Normal"/>
    <w:link w:val="Naslov8Char"/>
    <w:uiPriority w:val="9"/>
    <w:semiHidden/>
    <w:unhideWhenUsed/>
    <w:qFormat/>
    <w:rsid w:val="00FB069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9C05E8"/>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C20D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0DD5"/>
  </w:style>
  <w:style w:type="paragraph" w:styleId="Podnoje">
    <w:name w:val="footer"/>
    <w:basedOn w:val="Normal"/>
    <w:link w:val="PodnojeChar"/>
    <w:uiPriority w:val="99"/>
    <w:unhideWhenUsed/>
    <w:rsid w:val="00C20D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0DD5"/>
  </w:style>
  <w:style w:type="paragraph" w:styleId="Tekstbalonia">
    <w:name w:val="Balloon Text"/>
    <w:basedOn w:val="Normal"/>
    <w:link w:val="TekstbaloniaChar"/>
    <w:uiPriority w:val="99"/>
    <w:semiHidden/>
    <w:unhideWhenUsed/>
    <w:rsid w:val="002B7C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7CCE"/>
    <w:rPr>
      <w:rFonts w:ascii="Tahoma" w:hAnsi="Tahoma" w:cs="Tahoma"/>
      <w:sz w:val="16"/>
      <w:szCs w:val="16"/>
    </w:rPr>
  </w:style>
  <w:style w:type="paragraph" w:styleId="Tekstfusnote">
    <w:name w:val="footnote text"/>
    <w:basedOn w:val="Normal"/>
    <w:link w:val="TekstfusnoteChar"/>
    <w:uiPriority w:val="99"/>
    <w:semiHidden/>
    <w:unhideWhenUsed/>
    <w:rsid w:val="0031707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1707F"/>
    <w:rPr>
      <w:sz w:val="20"/>
      <w:szCs w:val="20"/>
    </w:rPr>
  </w:style>
  <w:style w:type="character" w:styleId="Referencafusnote">
    <w:name w:val="footnote reference"/>
    <w:basedOn w:val="Zadanifontodlomka"/>
    <w:uiPriority w:val="99"/>
    <w:semiHidden/>
    <w:unhideWhenUsed/>
    <w:rsid w:val="0031707F"/>
    <w:rPr>
      <w:vertAlign w:val="superscript"/>
    </w:rPr>
  </w:style>
  <w:style w:type="paragraph" w:styleId="Tijeloteksta">
    <w:name w:val="Body Text"/>
    <w:basedOn w:val="Normal"/>
    <w:link w:val="TijelotekstaChar"/>
    <w:uiPriority w:val="1"/>
    <w:qFormat/>
    <w:rsid w:val="001C3678"/>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TijelotekstaChar">
    <w:name w:val="Tijelo teksta Char"/>
    <w:basedOn w:val="Zadanifontodlomka"/>
    <w:link w:val="Tijeloteksta"/>
    <w:uiPriority w:val="1"/>
    <w:rsid w:val="001C3678"/>
    <w:rPr>
      <w:rFonts w:ascii="Times New Roman" w:eastAsia="Times New Roman" w:hAnsi="Times New Roman" w:cs="Times New Roman"/>
      <w:sz w:val="24"/>
      <w:szCs w:val="24"/>
      <w:lang w:val="en-GB" w:eastAsia="en-GB" w:bidi="en-GB"/>
    </w:rPr>
  </w:style>
  <w:style w:type="character" w:customStyle="1" w:styleId="Naslov1Char">
    <w:name w:val="Naslov 1 Char"/>
    <w:basedOn w:val="Zadanifontodlomka"/>
    <w:link w:val="Naslov1"/>
    <w:uiPriority w:val="1"/>
    <w:rsid w:val="009A1F37"/>
    <w:rPr>
      <w:rFonts w:ascii="Times New Roman" w:eastAsia="Times New Roman" w:hAnsi="Times New Roman" w:cs="Times New Roman"/>
      <w:b/>
      <w:bCs/>
      <w:sz w:val="24"/>
      <w:szCs w:val="24"/>
      <w:lang w:val="en-GB" w:eastAsia="en-GB" w:bidi="en-GB"/>
    </w:rPr>
  </w:style>
  <w:style w:type="table" w:styleId="Reetkatablice">
    <w:name w:val="Table Grid"/>
    <w:basedOn w:val="Obinatablica"/>
    <w:uiPriority w:val="39"/>
    <w:rsid w:val="00B6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D1CDE"/>
    <w:pPr>
      <w:ind w:left="720"/>
      <w:contextualSpacing/>
    </w:pPr>
  </w:style>
  <w:style w:type="character" w:customStyle="1" w:styleId="Naslov2Char">
    <w:name w:val="Naslov 2 Char"/>
    <w:basedOn w:val="Zadanifontodlomka"/>
    <w:link w:val="Naslov2"/>
    <w:uiPriority w:val="9"/>
    <w:semiHidden/>
    <w:rsid w:val="00FB069F"/>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FB069F"/>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FB069F"/>
    <w:rPr>
      <w:rFonts w:asciiTheme="majorHAnsi" w:eastAsiaTheme="majorEastAsia" w:hAnsiTheme="majorHAnsi" w:cstheme="majorBidi"/>
      <w:i/>
      <w:iCs/>
      <w:color w:val="2F5496" w:themeColor="accent1" w:themeShade="BF"/>
    </w:rPr>
  </w:style>
  <w:style w:type="character" w:customStyle="1" w:styleId="Naslov8Char">
    <w:name w:val="Naslov 8 Char"/>
    <w:basedOn w:val="Zadanifontodlomka"/>
    <w:link w:val="Naslov8"/>
    <w:uiPriority w:val="9"/>
    <w:semiHidden/>
    <w:rsid w:val="00FB069F"/>
    <w:rPr>
      <w:rFonts w:asciiTheme="majorHAnsi" w:eastAsiaTheme="majorEastAsia" w:hAnsiTheme="majorHAnsi" w:cstheme="majorBidi"/>
      <w:color w:val="272727" w:themeColor="text1" w:themeTint="D8"/>
      <w:sz w:val="21"/>
      <w:szCs w:val="21"/>
    </w:rPr>
  </w:style>
  <w:style w:type="paragraph" w:customStyle="1" w:styleId="CellHeader">
    <w:name w:val="CellHeader"/>
    <w:basedOn w:val="Normal"/>
    <w:qFormat/>
    <w:rsid w:val="00FB069F"/>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paragraph" w:customStyle="1" w:styleId="CellColumn">
    <w:name w:val="CellColumn"/>
    <w:basedOn w:val="CellHeader"/>
    <w:qFormat/>
    <w:rsid w:val="00FB069F"/>
  </w:style>
  <w:style w:type="table" w:customStyle="1" w:styleId="StilTablice">
    <w:name w:val="StilTablice"/>
    <w:basedOn w:val="Obinatablica"/>
    <w:uiPriority w:val="99"/>
    <w:rsid w:val="00FB069F"/>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character" w:styleId="Referencakomentara">
    <w:name w:val="annotation reference"/>
    <w:basedOn w:val="Zadanifontodlomka"/>
    <w:uiPriority w:val="99"/>
    <w:semiHidden/>
    <w:unhideWhenUsed/>
    <w:rsid w:val="0044177F"/>
    <w:rPr>
      <w:sz w:val="16"/>
      <w:szCs w:val="16"/>
    </w:rPr>
  </w:style>
  <w:style w:type="paragraph" w:styleId="Tekstkomentara">
    <w:name w:val="annotation text"/>
    <w:basedOn w:val="Normal"/>
    <w:link w:val="TekstkomentaraChar"/>
    <w:uiPriority w:val="99"/>
    <w:semiHidden/>
    <w:unhideWhenUsed/>
    <w:rsid w:val="0044177F"/>
    <w:pPr>
      <w:spacing w:line="240" w:lineRule="auto"/>
    </w:pPr>
    <w:rPr>
      <w:sz w:val="20"/>
      <w:szCs w:val="20"/>
    </w:rPr>
  </w:style>
  <w:style w:type="character" w:customStyle="1" w:styleId="TekstkomentaraChar">
    <w:name w:val="Tekst komentara Char"/>
    <w:basedOn w:val="Zadanifontodlomka"/>
    <w:link w:val="Tekstkomentara"/>
    <w:uiPriority w:val="99"/>
    <w:semiHidden/>
    <w:rsid w:val="0044177F"/>
    <w:rPr>
      <w:sz w:val="20"/>
      <w:szCs w:val="20"/>
    </w:rPr>
  </w:style>
  <w:style w:type="paragraph" w:styleId="Predmetkomentara">
    <w:name w:val="annotation subject"/>
    <w:basedOn w:val="Tekstkomentara"/>
    <w:next w:val="Tekstkomentara"/>
    <w:link w:val="PredmetkomentaraChar"/>
    <w:uiPriority w:val="99"/>
    <w:semiHidden/>
    <w:unhideWhenUsed/>
    <w:rsid w:val="0044177F"/>
    <w:rPr>
      <w:b/>
      <w:bCs/>
    </w:rPr>
  </w:style>
  <w:style w:type="character" w:customStyle="1" w:styleId="PredmetkomentaraChar">
    <w:name w:val="Predmet komentara Char"/>
    <w:basedOn w:val="TekstkomentaraChar"/>
    <w:link w:val="Predmetkomentara"/>
    <w:uiPriority w:val="99"/>
    <w:semiHidden/>
    <w:rsid w:val="0044177F"/>
    <w:rPr>
      <w:b/>
      <w:bCs/>
      <w:sz w:val="20"/>
      <w:szCs w:val="20"/>
    </w:rPr>
  </w:style>
  <w:style w:type="paragraph" w:styleId="Revizija">
    <w:name w:val="Revision"/>
    <w:hidden/>
    <w:uiPriority w:val="99"/>
    <w:semiHidden/>
    <w:rsid w:val="00C235E8"/>
    <w:pPr>
      <w:spacing w:after="0" w:line="240" w:lineRule="auto"/>
    </w:pPr>
  </w:style>
  <w:style w:type="paragraph" w:styleId="TOCNaslov">
    <w:name w:val="TOC Heading"/>
    <w:basedOn w:val="Naslov1"/>
    <w:next w:val="Normal"/>
    <w:uiPriority w:val="39"/>
    <w:unhideWhenUsed/>
    <w:qFormat/>
    <w:rsid w:val="007403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hr-HR" w:eastAsia="hr-HR" w:bidi="ar-SA"/>
    </w:rPr>
  </w:style>
  <w:style w:type="paragraph" w:styleId="Sadraj1">
    <w:name w:val="toc 1"/>
    <w:basedOn w:val="Normal"/>
    <w:next w:val="Normal"/>
    <w:autoRedefine/>
    <w:uiPriority w:val="39"/>
    <w:unhideWhenUsed/>
    <w:rsid w:val="007403ED"/>
    <w:pPr>
      <w:spacing w:after="100"/>
    </w:pPr>
  </w:style>
  <w:style w:type="character" w:styleId="Hiperveza">
    <w:name w:val="Hyperlink"/>
    <w:basedOn w:val="Zadanifontodlomka"/>
    <w:uiPriority w:val="99"/>
    <w:unhideWhenUsed/>
    <w:rsid w:val="007403ED"/>
    <w:rPr>
      <w:color w:val="0563C1" w:themeColor="hyperlink"/>
      <w:u w:val="single"/>
    </w:rPr>
  </w:style>
  <w:style w:type="paragraph" w:styleId="Sadraj3">
    <w:name w:val="toc 3"/>
    <w:basedOn w:val="Normal"/>
    <w:next w:val="Normal"/>
    <w:autoRedefine/>
    <w:uiPriority w:val="39"/>
    <w:unhideWhenUsed/>
    <w:rsid w:val="00DD6C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75">
      <w:bodyDiv w:val="1"/>
      <w:marLeft w:val="0"/>
      <w:marRight w:val="0"/>
      <w:marTop w:val="0"/>
      <w:marBottom w:val="0"/>
      <w:divBdr>
        <w:top w:val="none" w:sz="0" w:space="0" w:color="auto"/>
        <w:left w:val="none" w:sz="0" w:space="0" w:color="auto"/>
        <w:bottom w:val="none" w:sz="0" w:space="0" w:color="auto"/>
        <w:right w:val="none" w:sz="0" w:space="0" w:color="auto"/>
      </w:divBdr>
    </w:div>
    <w:div w:id="14426489">
      <w:bodyDiv w:val="1"/>
      <w:marLeft w:val="0"/>
      <w:marRight w:val="0"/>
      <w:marTop w:val="0"/>
      <w:marBottom w:val="0"/>
      <w:divBdr>
        <w:top w:val="none" w:sz="0" w:space="0" w:color="auto"/>
        <w:left w:val="none" w:sz="0" w:space="0" w:color="auto"/>
        <w:bottom w:val="none" w:sz="0" w:space="0" w:color="auto"/>
        <w:right w:val="none" w:sz="0" w:space="0" w:color="auto"/>
      </w:divBdr>
    </w:div>
    <w:div w:id="78330494">
      <w:bodyDiv w:val="1"/>
      <w:marLeft w:val="0"/>
      <w:marRight w:val="0"/>
      <w:marTop w:val="0"/>
      <w:marBottom w:val="0"/>
      <w:divBdr>
        <w:top w:val="none" w:sz="0" w:space="0" w:color="auto"/>
        <w:left w:val="none" w:sz="0" w:space="0" w:color="auto"/>
        <w:bottom w:val="none" w:sz="0" w:space="0" w:color="auto"/>
        <w:right w:val="none" w:sz="0" w:space="0" w:color="auto"/>
      </w:divBdr>
    </w:div>
    <w:div w:id="88893967">
      <w:bodyDiv w:val="1"/>
      <w:marLeft w:val="0"/>
      <w:marRight w:val="0"/>
      <w:marTop w:val="0"/>
      <w:marBottom w:val="0"/>
      <w:divBdr>
        <w:top w:val="none" w:sz="0" w:space="0" w:color="auto"/>
        <w:left w:val="none" w:sz="0" w:space="0" w:color="auto"/>
        <w:bottom w:val="none" w:sz="0" w:space="0" w:color="auto"/>
        <w:right w:val="none" w:sz="0" w:space="0" w:color="auto"/>
      </w:divBdr>
    </w:div>
    <w:div w:id="334260797">
      <w:bodyDiv w:val="1"/>
      <w:marLeft w:val="0"/>
      <w:marRight w:val="0"/>
      <w:marTop w:val="0"/>
      <w:marBottom w:val="0"/>
      <w:divBdr>
        <w:top w:val="none" w:sz="0" w:space="0" w:color="auto"/>
        <w:left w:val="none" w:sz="0" w:space="0" w:color="auto"/>
        <w:bottom w:val="none" w:sz="0" w:space="0" w:color="auto"/>
        <w:right w:val="none" w:sz="0" w:space="0" w:color="auto"/>
      </w:divBdr>
    </w:div>
    <w:div w:id="401218572">
      <w:bodyDiv w:val="1"/>
      <w:marLeft w:val="0"/>
      <w:marRight w:val="0"/>
      <w:marTop w:val="0"/>
      <w:marBottom w:val="0"/>
      <w:divBdr>
        <w:top w:val="none" w:sz="0" w:space="0" w:color="auto"/>
        <w:left w:val="none" w:sz="0" w:space="0" w:color="auto"/>
        <w:bottom w:val="none" w:sz="0" w:space="0" w:color="auto"/>
        <w:right w:val="none" w:sz="0" w:space="0" w:color="auto"/>
      </w:divBdr>
    </w:div>
    <w:div w:id="488248018">
      <w:bodyDiv w:val="1"/>
      <w:marLeft w:val="0"/>
      <w:marRight w:val="0"/>
      <w:marTop w:val="0"/>
      <w:marBottom w:val="0"/>
      <w:divBdr>
        <w:top w:val="none" w:sz="0" w:space="0" w:color="auto"/>
        <w:left w:val="none" w:sz="0" w:space="0" w:color="auto"/>
        <w:bottom w:val="none" w:sz="0" w:space="0" w:color="auto"/>
        <w:right w:val="none" w:sz="0" w:space="0" w:color="auto"/>
      </w:divBdr>
    </w:div>
    <w:div w:id="489563489">
      <w:bodyDiv w:val="1"/>
      <w:marLeft w:val="0"/>
      <w:marRight w:val="0"/>
      <w:marTop w:val="0"/>
      <w:marBottom w:val="0"/>
      <w:divBdr>
        <w:top w:val="none" w:sz="0" w:space="0" w:color="auto"/>
        <w:left w:val="none" w:sz="0" w:space="0" w:color="auto"/>
        <w:bottom w:val="none" w:sz="0" w:space="0" w:color="auto"/>
        <w:right w:val="none" w:sz="0" w:space="0" w:color="auto"/>
      </w:divBdr>
    </w:div>
    <w:div w:id="533882779">
      <w:bodyDiv w:val="1"/>
      <w:marLeft w:val="0"/>
      <w:marRight w:val="0"/>
      <w:marTop w:val="0"/>
      <w:marBottom w:val="0"/>
      <w:divBdr>
        <w:top w:val="none" w:sz="0" w:space="0" w:color="auto"/>
        <w:left w:val="none" w:sz="0" w:space="0" w:color="auto"/>
        <w:bottom w:val="none" w:sz="0" w:space="0" w:color="auto"/>
        <w:right w:val="none" w:sz="0" w:space="0" w:color="auto"/>
      </w:divBdr>
    </w:div>
    <w:div w:id="593904764">
      <w:bodyDiv w:val="1"/>
      <w:marLeft w:val="0"/>
      <w:marRight w:val="0"/>
      <w:marTop w:val="0"/>
      <w:marBottom w:val="0"/>
      <w:divBdr>
        <w:top w:val="none" w:sz="0" w:space="0" w:color="auto"/>
        <w:left w:val="none" w:sz="0" w:space="0" w:color="auto"/>
        <w:bottom w:val="none" w:sz="0" w:space="0" w:color="auto"/>
        <w:right w:val="none" w:sz="0" w:space="0" w:color="auto"/>
      </w:divBdr>
    </w:div>
    <w:div w:id="605041966">
      <w:bodyDiv w:val="1"/>
      <w:marLeft w:val="0"/>
      <w:marRight w:val="0"/>
      <w:marTop w:val="0"/>
      <w:marBottom w:val="0"/>
      <w:divBdr>
        <w:top w:val="none" w:sz="0" w:space="0" w:color="auto"/>
        <w:left w:val="none" w:sz="0" w:space="0" w:color="auto"/>
        <w:bottom w:val="none" w:sz="0" w:space="0" w:color="auto"/>
        <w:right w:val="none" w:sz="0" w:space="0" w:color="auto"/>
      </w:divBdr>
    </w:div>
    <w:div w:id="651910756">
      <w:bodyDiv w:val="1"/>
      <w:marLeft w:val="0"/>
      <w:marRight w:val="0"/>
      <w:marTop w:val="0"/>
      <w:marBottom w:val="0"/>
      <w:divBdr>
        <w:top w:val="none" w:sz="0" w:space="0" w:color="auto"/>
        <w:left w:val="none" w:sz="0" w:space="0" w:color="auto"/>
        <w:bottom w:val="none" w:sz="0" w:space="0" w:color="auto"/>
        <w:right w:val="none" w:sz="0" w:space="0" w:color="auto"/>
      </w:divBdr>
    </w:div>
    <w:div w:id="738291236">
      <w:bodyDiv w:val="1"/>
      <w:marLeft w:val="0"/>
      <w:marRight w:val="0"/>
      <w:marTop w:val="0"/>
      <w:marBottom w:val="0"/>
      <w:divBdr>
        <w:top w:val="none" w:sz="0" w:space="0" w:color="auto"/>
        <w:left w:val="none" w:sz="0" w:space="0" w:color="auto"/>
        <w:bottom w:val="none" w:sz="0" w:space="0" w:color="auto"/>
        <w:right w:val="none" w:sz="0" w:space="0" w:color="auto"/>
      </w:divBdr>
    </w:div>
    <w:div w:id="842861845">
      <w:bodyDiv w:val="1"/>
      <w:marLeft w:val="0"/>
      <w:marRight w:val="0"/>
      <w:marTop w:val="0"/>
      <w:marBottom w:val="0"/>
      <w:divBdr>
        <w:top w:val="none" w:sz="0" w:space="0" w:color="auto"/>
        <w:left w:val="none" w:sz="0" w:space="0" w:color="auto"/>
        <w:bottom w:val="none" w:sz="0" w:space="0" w:color="auto"/>
        <w:right w:val="none" w:sz="0" w:space="0" w:color="auto"/>
      </w:divBdr>
    </w:div>
    <w:div w:id="1280181122">
      <w:bodyDiv w:val="1"/>
      <w:marLeft w:val="0"/>
      <w:marRight w:val="0"/>
      <w:marTop w:val="0"/>
      <w:marBottom w:val="0"/>
      <w:divBdr>
        <w:top w:val="none" w:sz="0" w:space="0" w:color="auto"/>
        <w:left w:val="none" w:sz="0" w:space="0" w:color="auto"/>
        <w:bottom w:val="none" w:sz="0" w:space="0" w:color="auto"/>
        <w:right w:val="none" w:sz="0" w:space="0" w:color="auto"/>
      </w:divBdr>
    </w:div>
    <w:div w:id="1336347439">
      <w:bodyDiv w:val="1"/>
      <w:marLeft w:val="0"/>
      <w:marRight w:val="0"/>
      <w:marTop w:val="0"/>
      <w:marBottom w:val="0"/>
      <w:divBdr>
        <w:top w:val="none" w:sz="0" w:space="0" w:color="auto"/>
        <w:left w:val="none" w:sz="0" w:space="0" w:color="auto"/>
        <w:bottom w:val="none" w:sz="0" w:space="0" w:color="auto"/>
        <w:right w:val="none" w:sz="0" w:space="0" w:color="auto"/>
      </w:divBdr>
    </w:div>
    <w:div w:id="1593126938">
      <w:bodyDiv w:val="1"/>
      <w:marLeft w:val="0"/>
      <w:marRight w:val="0"/>
      <w:marTop w:val="0"/>
      <w:marBottom w:val="0"/>
      <w:divBdr>
        <w:top w:val="none" w:sz="0" w:space="0" w:color="auto"/>
        <w:left w:val="none" w:sz="0" w:space="0" w:color="auto"/>
        <w:bottom w:val="none" w:sz="0" w:space="0" w:color="auto"/>
        <w:right w:val="none" w:sz="0" w:space="0" w:color="auto"/>
      </w:divBdr>
    </w:div>
    <w:div w:id="1629624125">
      <w:bodyDiv w:val="1"/>
      <w:marLeft w:val="0"/>
      <w:marRight w:val="0"/>
      <w:marTop w:val="0"/>
      <w:marBottom w:val="0"/>
      <w:divBdr>
        <w:top w:val="none" w:sz="0" w:space="0" w:color="auto"/>
        <w:left w:val="none" w:sz="0" w:space="0" w:color="auto"/>
        <w:bottom w:val="none" w:sz="0" w:space="0" w:color="auto"/>
        <w:right w:val="none" w:sz="0" w:space="0" w:color="auto"/>
      </w:divBdr>
    </w:div>
    <w:div w:id="1645768007">
      <w:bodyDiv w:val="1"/>
      <w:marLeft w:val="0"/>
      <w:marRight w:val="0"/>
      <w:marTop w:val="0"/>
      <w:marBottom w:val="0"/>
      <w:divBdr>
        <w:top w:val="none" w:sz="0" w:space="0" w:color="auto"/>
        <w:left w:val="none" w:sz="0" w:space="0" w:color="auto"/>
        <w:bottom w:val="none" w:sz="0" w:space="0" w:color="auto"/>
        <w:right w:val="none" w:sz="0" w:space="0" w:color="auto"/>
      </w:divBdr>
    </w:div>
    <w:div w:id="1833909904">
      <w:bodyDiv w:val="1"/>
      <w:marLeft w:val="0"/>
      <w:marRight w:val="0"/>
      <w:marTop w:val="0"/>
      <w:marBottom w:val="0"/>
      <w:divBdr>
        <w:top w:val="none" w:sz="0" w:space="0" w:color="auto"/>
        <w:left w:val="none" w:sz="0" w:space="0" w:color="auto"/>
        <w:bottom w:val="none" w:sz="0" w:space="0" w:color="auto"/>
        <w:right w:val="none" w:sz="0" w:space="0" w:color="auto"/>
      </w:divBdr>
    </w:div>
    <w:div w:id="1864247532">
      <w:bodyDiv w:val="1"/>
      <w:marLeft w:val="0"/>
      <w:marRight w:val="0"/>
      <w:marTop w:val="0"/>
      <w:marBottom w:val="0"/>
      <w:divBdr>
        <w:top w:val="none" w:sz="0" w:space="0" w:color="auto"/>
        <w:left w:val="none" w:sz="0" w:space="0" w:color="auto"/>
        <w:bottom w:val="none" w:sz="0" w:space="0" w:color="auto"/>
        <w:right w:val="none" w:sz="0" w:space="0" w:color="auto"/>
      </w:divBdr>
    </w:div>
    <w:div w:id="1864587014">
      <w:bodyDiv w:val="1"/>
      <w:marLeft w:val="0"/>
      <w:marRight w:val="0"/>
      <w:marTop w:val="0"/>
      <w:marBottom w:val="0"/>
      <w:divBdr>
        <w:top w:val="none" w:sz="0" w:space="0" w:color="auto"/>
        <w:left w:val="none" w:sz="0" w:space="0" w:color="auto"/>
        <w:bottom w:val="none" w:sz="0" w:space="0" w:color="auto"/>
        <w:right w:val="none" w:sz="0" w:space="0" w:color="auto"/>
      </w:divBdr>
    </w:div>
    <w:div w:id="1905944572">
      <w:bodyDiv w:val="1"/>
      <w:marLeft w:val="0"/>
      <w:marRight w:val="0"/>
      <w:marTop w:val="0"/>
      <w:marBottom w:val="0"/>
      <w:divBdr>
        <w:top w:val="none" w:sz="0" w:space="0" w:color="auto"/>
        <w:left w:val="none" w:sz="0" w:space="0" w:color="auto"/>
        <w:bottom w:val="none" w:sz="0" w:space="0" w:color="auto"/>
        <w:right w:val="none" w:sz="0" w:space="0" w:color="auto"/>
      </w:divBdr>
    </w:div>
    <w:div w:id="2046638641">
      <w:bodyDiv w:val="1"/>
      <w:marLeft w:val="0"/>
      <w:marRight w:val="0"/>
      <w:marTop w:val="0"/>
      <w:marBottom w:val="0"/>
      <w:divBdr>
        <w:top w:val="none" w:sz="0" w:space="0" w:color="auto"/>
        <w:left w:val="none" w:sz="0" w:space="0" w:color="auto"/>
        <w:bottom w:val="none" w:sz="0" w:space="0" w:color="auto"/>
        <w:right w:val="none" w:sz="0" w:space="0" w:color="auto"/>
      </w:divBdr>
    </w:div>
    <w:div w:id="2081250064">
      <w:bodyDiv w:val="1"/>
      <w:marLeft w:val="0"/>
      <w:marRight w:val="0"/>
      <w:marTop w:val="0"/>
      <w:marBottom w:val="0"/>
      <w:divBdr>
        <w:top w:val="none" w:sz="0" w:space="0" w:color="auto"/>
        <w:left w:val="none" w:sz="0" w:space="0" w:color="auto"/>
        <w:bottom w:val="none" w:sz="0" w:space="0" w:color="auto"/>
        <w:right w:val="none" w:sz="0" w:space="0" w:color="auto"/>
      </w:divBdr>
    </w:div>
    <w:div w:id="2092772710">
      <w:bodyDiv w:val="1"/>
      <w:marLeft w:val="0"/>
      <w:marRight w:val="0"/>
      <w:marTop w:val="0"/>
      <w:marBottom w:val="0"/>
      <w:divBdr>
        <w:top w:val="none" w:sz="0" w:space="0" w:color="auto"/>
        <w:left w:val="none" w:sz="0" w:space="0" w:color="auto"/>
        <w:bottom w:val="none" w:sz="0" w:space="0" w:color="auto"/>
        <w:right w:val="none" w:sz="0" w:space="0" w:color="auto"/>
      </w:divBdr>
    </w:div>
    <w:div w:id="21387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hr-HR" b="1">
                <a:solidFill>
                  <a:schemeClr val="tx1"/>
                </a:solidFill>
              </a:rPr>
              <a:t>Prihodi i primici ostvareni u razdoblju 01.01.-31.12.2024.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sr-Latn-RS"/>
        </a:p>
      </c:txPr>
    </c:title>
    <c:autoTitleDeleted val="0"/>
    <c:view3D>
      <c:rotX val="3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53-4A9D-A1B4-3C2DACA844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53-4A9D-A1B4-3C2DACA844F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953-4A9D-A1B4-3C2DACA844F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953-4A9D-A1B4-3C2DACA844F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953-4A9D-A1B4-3C2DACA844F6}"/>
              </c:ext>
            </c:extLst>
          </c:dPt>
          <c:dLbls>
            <c:dLbl>
              <c:idx val="0"/>
              <c:layout>
                <c:manualLayout>
                  <c:x val="-1.0898104930119223E-2"/>
                  <c:y val="3.1890576915512114E-2"/>
                </c:manualLayout>
              </c:layout>
              <c:numFmt formatCode="#,000%" sourceLinked="0"/>
              <c:spPr>
                <a:noFill/>
                <a:ln>
                  <a:noFill/>
                </a:ln>
                <a:effectLst/>
              </c:spPr>
              <c:txPr>
                <a:bodyPr rot="0" spcFirstLastPara="1" vertOverflow="ellipsis" horzOverflow="clip"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D953-4A9D-A1B4-3C2DACA844F6}"/>
                </c:ext>
              </c:extLst>
            </c:dLbl>
            <c:dLbl>
              <c:idx val="3"/>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953-4A9D-A1B4-3C2DACA844F6}"/>
                </c:ext>
              </c:extLst>
            </c:dLbl>
            <c:numFmt formatCode="0.00%" sourceLinked="0"/>
            <c:spPr>
              <a:noFill/>
              <a:ln>
                <a:noFill/>
              </a:ln>
              <a:effectLst/>
            </c:spPr>
            <c:txPr>
              <a:bodyPr rot="0" spcFirstLastPara="1" vertOverflow="ellipsis" horzOverflow="clip"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PRIHODI_I_PRIMICI!$A$4:$A$8</c:f>
              <c:strCache>
                <c:ptCount val="5"/>
                <c:pt idx="0">
                  <c:v>6421 - Naknade za koncesije</c:v>
                </c:pt>
                <c:pt idx="1">
                  <c:v>6514 - Ostale pristojbe i naknade</c:v>
                </c:pt>
                <c:pt idx="2">
                  <c:v>6711 - Prihodi iz nadležnog proračuna za financiranje rashoda poslovanja</c:v>
                </c:pt>
                <c:pt idx="3">
                  <c:v>6712 - Prihodi iz nadležnog proračuna za financiranje rashoda za nabavu nefinancijske imovine</c:v>
                </c:pt>
                <c:pt idx="4">
                  <c:v>6714 - Prihodi iz nadležnog proračuna za financiranje izdataka za financijsku imovinu i otplatu zajmova </c:v>
                </c:pt>
              </c:strCache>
            </c:strRef>
          </c:cat>
          <c:val>
            <c:numRef>
              <c:f>PRIHODI_I_PRIMICI!$B$4:$B$8</c:f>
              <c:numCache>
                <c:formatCode>#,##0.00" "[$€-41A]</c:formatCode>
                <c:ptCount val="5"/>
                <c:pt idx="0">
                  <c:v>126448.57</c:v>
                </c:pt>
                <c:pt idx="1">
                  <c:v>675871.36</c:v>
                </c:pt>
                <c:pt idx="2">
                  <c:v>845500.87</c:v>
                </c:pt>
                <c:pt idx="3">
                  <c:v>3502261.81</c:v>
                </c:pt>
                <c:pt idx="4">
                  <c:v>499860.09</c:v>
                </c:pt>
              </c:numCache>
            </c:numRef>
          </c:val>
          <c:extLst>
            <c:ext xmlns:c16="http://schemas.microsoft.com/office/drawing/2014/chart" uri="{C3380CC4-5D6E-409C-BE32-E72D297353CC}">
              <c16:uniqueId val="{0000000A-D953-4A9D-A1B4-3C2DACA844F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hr-HR">
                <a:solidFill>
                  <a:schemeClr val="tx1"/>
                </a:solidFill>
              </a:rPr>
              <a:t>Rashodi i izdaci ostvareni u razdoblju 01.01.</a:t>
            </a:r>
            <a:r>
              <a:rPr lang="hr-HR" baseline="0">
                <a:solidFill>
                  <a:schemeClr val="tx1"/>
                </a:solidFill>
              </a:rPr>
              <a:t> 31.12.2024.</a:t>
            </a:r>
            <a:endParaRPr lang="hr-HR">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hr-H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5A-47EF-BDF8-D3D8C78356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5A-47EF-BDF8-D3D8C78356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5A-47EF-BDF8-D3D8C78356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5A-47EF-BDF8-D3D8C78356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15A-47EF-BDF8-D3D8C783563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RASHODI_I_IZDACI!$A$4:$A$8</c:f>
              <c:strCache>
                <c:ptCount val="5"/>
                <c:pt idx="0">
                  <c:v>31 - Rashodi za zaposlene</c:v>
                </c:pt>
                <c:pt idx="1">
                  <c:v>32 - Materijalni rashodi</c:v>
                </c:pt>
                <c:pt idx="2">
                  <c:v>34 - Financijski rashodi</c:v>
                </c:pt>
                <c:pt idx="3">
                  <c:v>42 - Rashodi za nabavu proizvedene dugotrajne imovine</c:v>
                </c:pt>
                <c:pt idx="4">
                  <c:v>54 - Izdaci za otplatu glavnice primljenih kredita i zajmova</c:v>
                </c:pt>
              </c:strCache>
            </c:strRef>
          </c:cat>
          <c:val>
            <c:numRef>
              <c:f>RASHODI_I_IZDACI!$B$4:$B$8</c:f>
              <c:numCache>
                <c:formatCode>#,##0.00" "[$€-41A]</c:formatCode>
                <c:ptCount val="5"/>
                <c:pt idx="0">
                  <c:v>210726.83</c:v>
                </c:pt>
                <c:pt idx="1">
                  <c:v>1185013.1200000001</c:v>
                </c:pt>
                <c:pt idx="2">
                  <c:v>451667.27</c:v>
                </c:pt>
                <c:pt idx="3">
                  <c:v>3511445.66</c:v>
                </c:pt>
                <c:pt idx="4">
                  <c:v>499860.09</c:v>
                </c:pt>
              </c:numCache>
            </c:numRef>
          </c:val>
          <c:extLst>
            <c:ext xmlns:c16="http://schemas.microsoft.com/office/drawing/2014/chart" uri="{C3380CC4-5D6E-409C-BE32-E72D297353CC}">
              <c16:uniqueId val="{0000000A-E15A-47EF-BDF8-D3D8C7835639}"/>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76B2-C7D1-40B5-9B8A-592ACC77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24</Pages>
  <Words>3891</Words>
  <Characters>22182</Characters>
  <Application>Microsoft Office Word</Application>
  <DocSecurity>0</DocSecurity>
  <Lines>184</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Godić</dc:creator>
  <cp:keywords/>
  <dc:description/>
  <cp:lastModifiedBy>Lučka Uprava SB</cp:lastModifiedBy>
  <cp:revision>5</cp:revision>
  <cp:lastPrinted>2024-03-15T07:41:00Z</cp:lastPrinted>
  <dcterms:created xsi:type="dcterms:W3CDTF">2025-03-25T08:24:00Z</dcterms:created>
  <dcterms:modified xsi:type="dcterms:W3CDTF">2025-03-27T07:31:00Z</dcterms:modified>
</cp:coreProperties>
</file>