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680392" w:rsidRPr="00680392" w14:paraId="4B36A71C" w14:textId="77777777" w:rsidTr="00680392">
        <w:tc>
          <w:tcPr>
            <w:tcW w:w="2122" w:type="dxa"/>
          </w:tcPr>
          <w:p w14:paraId="55FC1396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RKP</w:t>
            </w:r>
          </w:p>
        </w:tc>
        <w:tc>
          <w:tcPr>
            <w:tcW w:w="7512" w:type="dxa"/>
          </w:tcPr>
          <w:p w14:paraId="428838EF" w14:textId="662DD385" w:rsidR="00170E21" w:rsidRPr="00680392" w:rsidRDefault="00CA4C5A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51263</w:t>
            </w:r>
          </w:p>
          <w:p w14:paraId="7EFD01B0" w14:textId="77777777"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680392" w:rsidRPr="00680392" w14:paraId="0B332EE3" w14:textId="77777777" w:rsidTr="00680392">
        <w:tc>
          <w:tcPr>
            <w:tcW w:w="2122" w:type="dxa"/>
          </w:tcPr>
          <w:p w14:paraId="0AB5C5DA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Naziv obveznika:</w:t>
            </w:r>
          </w:p>
        </w:tc>
        <w:tc>
          <w:tcPr>
            <w:tcW w:w="7512" w:type="dxa"/>
          </w:tcPr>
          <w:p w14:paraId="7F3596F8" w14:textId="77777777" w:rsidR="00CA4C5A" w:rsidRDefault="00CA4C5A" w:rsidP="00CA4C5A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Javna ustanova Lučka uprava Slavonski Brod</w:t>
            </w:r>
          </w:p>
          <w:p w14:paraId="4B515B95" w14:textId="77777777"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680392" w:rsidRPr="00680392" w14:paraId="5F92B3CB" w14:textId="77777777" w:rsidTr="00680392">
        <w:tc>
          <w:tcPr>
            <w:tcW w:w="2122" w:type="dxa"/>
          </w:tcPr>
          <w:p w14:paraId="459A6014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Razina:</w:t>
            </w:r>
          </w:p>
        </w:tc>
        <w:tc>
          <w:tcPr>
            <w:tcW w:w="7512" w:type="dxa"/>
          </w:tcPr>
          <w:p w14:paraId="5A09FBDC" w14:textId="77777777" w:rsidR="006A7AD0" w:rsidRDefault="00CA4C5A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11</w:t>
            </w:r>
          </w:p>
          <w:p w14:paraId="0A2C4654" w14:textId="7B30E97D" w:rsidR="00CA4C5A" w:rsidRPr="00680392" w:rsidRDefault="00CA4C5A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680392" w:rsidRPr="00680392" w14:paraId="0AB49A68" w14:textId="77777777" w:rsidTr="00680392">
        <w:tc>
          <w:tcPr>
            <w:tcW w:w="2122" w:type="dxa"/>
          </w:tcPr>
          <w:p w14:paraId="1A086431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Oznaka razdoblja:</w:t>
            </w:r>
          </w:p>
        </w:tc>
        <w:tc>
          <w:tcPr>
            <w:tcW w:w="7512" w:type="dxa"/>
          </w:tcPr>
          <w:p w14:paraId="4EF85F6D" w14:textId="3192E16B" w:rsidR="00170E21" w:rsidRPr="002D0CC0" w:rsidRDefault="002D0CC0" w:rsidP="002D0CC0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siječnja 202</w:t>
            </w:r>
            <w:r w:rsidR="009B5BAC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. – 3</w:t>
            </w:r>
            <w:r w:rsidR="00CA6283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 xml:space="preserve">. </w:t>
            </w:r>
            <w:r w:rsidR="009B5BAC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ožujka</w:t>
            </w: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 xml:space="preserve"> 202</w:t>
            </w:r>
            <w:r w:rsidR="009B5BAC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.</w:t>
            </w:r>
          </w:p>
          <w:p w14:paraId="2971B835" w14:textId="77777777"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F2541C" w:rsidRPr="00680392" w14:paraId="3952D38C" w14:textId="77777777" w:rsidTr="00680392">
        <w:tc>
          <w:tcPr>
            <w:tcW w:w="2122" w:type="dxa"/>
          </w:tcPr>
          <w:p w14:paraId="4D943064" w14:textId="77777777" w:rsidR="00F2541C" w:rsidRPr="002D0CC0" w:rsidRDefault="002D0CC0" w:rsidP="002D0CC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2D0CC0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Osoba za kontakt i broj telefona</w:t>
            </w:r>
          </w:p>
        </w:tc>
        <w:tc>
          <w:tcPr>
            <w:tcW w:w="7512" w:type="dxa"/>
          </w:tcPr>
          <w:p w14:paraId="49115767" w14:textId="5721410F" w:rsidR="00F2541C" w:rsidRPr="00680392" w:rsidRDefault="00CA4C5A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Đurđa Ferić-Oroz, 035 404 430, 099 531 38 35</w:t>
            </w:r>
          </w:p>
        </w:tc>
      </w:tr>
    </w:tbl>
    <w:p w14:paraId="398A867D" w14:textId="77777777" w:rsidR="00CC75C5" w:rsidRDefault="00CC75C5" w:rsidP="00170E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564114" w14:textId="77777777" w:rsidR="0069302A" w:rsidRPr="00614260" w:rsidRDefault="0069302A" w:rsidP="00036DEE">
      <w:pPr>
        <w:pStyle w:val="Naslov1"/>
      </w:pPr>
      <w:bookmarkStart w:id="0" w:name="_Toc135657521"/>
      <w:r w:rsidRPr="00614260">
        <w:t>B I LJ E Š K E  U Z  O B R A Z A C  P R – R A S</w:t>
      </w:r>
      <w:bookmarkEnd w:id="0"/>
    </w:p>
    <w:p w14:paraId="120B63AD" w14:textId="77777777" w:rsidR="00CC75C5" w:rsidRDefault="00CC75C5" w:rsidP="006A7AD0">
      <w:pPr>
        <w:rPr>
          <w:rFonts w:ascii="Times New Roman" w:hAnsi="Times New Roman" w:cs="Times New Roman"/>
          <w:sz w:val="28"/>
          <w:szCs w:val="28"/>
        </w:rPr>
      </w:pPr>
    </w:p>
    <w:p w14:paraId="59FB9B4B" w14:textId="77777777" w:rsidR="006A7AD0" w:rsidRDefault="006A7AD0" w:rsidP="00036DEE">
      <w:pPr>
        <w:pStyle w:val="Naslov2"/>
      </w:pPr>
      <w:bookmarkStart w:id="1" w:name="_Toc135657522"/>
      <w:r w:rsidRPr="000C01F8">
        <w:t>P</w:t>
      </w:r>
      <w:r w:rsidR="00036DEE">
        <w:t xml:space="preserve"> </w:t>
      </w:r>
      <w:r w:rsidRPr="000C01F8">
        <w:t>R</w:t>
      </w:r>
      <w:r w:rsidR="00036DEE">
        <w:t xml:space="preserve"> </w:t>
      </w:r>
      <w:r w:rsidRPr="000C01F8">
        <w:t>I</w:t>
      </w:r>
      <w:r w:rsidR="00036DEE">
        <w:t xml:space="preserve"> </w:t>
      </w:r>
      <w:r w:rsidRPr="000C01F8">
        <w:t>H</w:t>
      </w:r>
      <w:r w:rsidR="00036DEE">
        <w:t xml:space="preserve"> </w:t>
      </w:r>
      <w:r w:rsidRPr="000C01F8">
        <w:t>O</w:t>
      </w:r>
      <w:r w:rsidR="00036DEE">
        <w:t xml:space="preserve"> </w:t>
      </w:r>
      <w:r w:rsidRPr="000C01F8">
        <w:t>D</w:t>
      </w:r>
      <w:r w:rsidR="00036DEE">
        <w:t xml:space="preserve"> </w:t>
      </w:r>
      <w:r w:rsidRPr="000C01F8">
        <w:t>I</w:t>
      </w:r>
      <w:bookmarkEnd w:id="1"/>
    </w:p>
    <w:p w14:paraId="248175F9" w14:textId="77777777" w:rsidR="00036DEE" w:rsidRPr="00036DEE" w:rsidRDefault="00036DEE" w:rsidP="00036DEE"/>
    <w:p w14:paraId="15979040" w14:textId="77777777" w:rsidR="0069302A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</w:t>
      </w:r>
      <w:r w:rsidRPr="00D649D7">
        <w:rPr>
          <w:rFonts w:ascii="Times New Roman" w:hAnsi="Times New Roman" w:cs="Times New Roman"/>
          <w:b/>
          <w:sz w:val="24"/>
          <w:szCs w:val="24"/>
        </w:rPr>
        <w:t>(6</w:t>
      </w:r>
      <w:r w:rsidR="002D0CC0">
        <w:rPr>
          <w:rFonts w:ascii="Times New Roman" w:hAnsi="Times New Roman" w:cs="Times New Roman"/>
          <w:b/>
          <w:sz w:val="24"/>
          <w:szCs w:val="24"/>
        </w:rPr>
        <w:t>3</w:t>
      </w:r>
      <w:r w:rsidRPr="00D649D7">
        <w:rPr>
          <w:rFonts w:ascii="Times New Roman" w:hAnsi="Times New Roman" w:cs="Times New Roman"/>
          <w:b/>
          <w:sz w:val="24"/>
          <w:szCs w:val="24"/>
        </w:rPr>
        <w:t>)</w:t>
      </w:r>
    </w:p>
    <w:p w14:paraId="7285A2F7" w14:textId="77777777" w:rsidR="00064C4E" w:rsidRDefault="00064C4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BC9D505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8FDDAE2" w14:textId="77777777" w:rsidR="0069302A" w:rsidRPr="00D649D7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(64)</w:t>
      </w:r>
    </w:p>
    <w:p w14:paraId="65D6B57C" w14:textId="0B5DB2E9" w:rsidR="00CA4C5A" w:rsidRDefault="00CA4C5A" w:rsidP="00CA4C5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B79FC">
        <w:rPr>
          <w:rFonts w:ascii="Times New Roman" w:hAnsi="Times New Roman" w:cs="Times New Roman"/>
          <w:sz w:val="24"/>
          <w:szCs w:val="24"/>
        </w:rPr>
        <w:t xml:space="preserve">Naknade za koncesije čine naplaćeni prihodi od koncesionara </w:t>
      </w:r>
      <w:r>
        <w:rPr>
          <w:rFonts w:ascii="Times New Roman" w:hAnsi="Times New Roman" w:cs="Times New Roman"/>
          <w:sz w:val="24"/>
          <w:szCs w:val="24"/>
        </w:rPr>
        <w:t>Delta</w:t>
      </w:r>
      <w:r w:rsidRPr="003B79FC">
        <w:rPr>
          <w:rFonts w:ascii="Times New Roman" w:hAnsi="Times New Roman" w:cs="Times New Roman"/>
          <w:sz w:val="24"/>
          <w:szCs w:val="24"/>
        </w:rPr>
        <w:t xml:space="preserve"> energetika d.o.o. Zagreb</w:t>
      </w:r>
      <w:r>
        <w:rPr>
          <w:rFonts w:ascii="Times New Roman" w:hAnsi="Times New Roman" w:cs="Times New Roman"/>
          <w:sz w:val="24"/>
          <w:szCs w:val="24"/>
        </w:rPr>
        <w:t>. Iznos ostvarenih prihoda je manji u odnosu na iznos u istom periodu prethodne godine zato što koncesionar pla</w:t>
      </w:r>
      <w:r w:rsidR="009671E1">
        <w:rPr>
          <w:rFonts w:ascii="Times New Roman" w:hAnsi="Times New Roman" w:cs="Times New Roman"/>
          <w:sz w:val="24"/>
          <w:szCs w:val="24"/>
        </w:rPr>
        <w:t>ća</w:t>
      </w:r>
      <w:r>
        <w:rPr>
          <w:rFonts w:ascii="Times New Roman" w:hAnsi="Times New Roman" w:cs="Times New Roman"/>
          <w:sz w:val="24"/>
          <w:szCs w:val="24"/>
        </w:rPr>
        <w:t xml:space="preserve"> dio naknade u ožujku, a dio u travnju 2025. godine.</w:t>
      </w:r>
    </w:p>
    <w:p w14:paraId="01098AEA" w14:textId="77777777" w:rsidR="0069302A" w:rsidRPr="00D649D7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 </w:t>
      </w:r>
      <w:r w:rsidRPr="00D649D7">
        <w:rPr>
          <w:rFonts w:ascii="Times New Roman" w:hAnsi="Times New Roman" w:cs="Times New Roman"/>
          <w:b/>
          <w:sz w:val="24"/>
          <w:szCs w:val="24"/>
        </w:rPr>
        <w:t>(65)</w:t>
      </w:r>
    </w:p>
    <w:p w14:paraId="61619234" w14:textId="633ED60B" w:rsidR="00036DEE" w:rsidRPr="00036DEE" w:rsidRDefault="00CA4C5A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F378BA">
        <w:rPr>
          <w:rFonts w:ascii="Times New Roman" w:hAnsi="Times New Roman" w:cs="Times New Roman"/>
          <w:sz w:val="24"/>
          <w:szCs w:val="24"/>
        </w:rPr>
        <w:t>Ostale pristojbe i naknade čine prihodi naplaćeni za pristojbe i naknade u lučkom području i tovarištima šljunka i pijeska na obali rijeke Save.</w:t>
      </w:r>
      <w:r>
        <w:rPr>
          <w:rFonts w:ascii="Times New Roman" w:hAnsi="Times New Roman" w:cs="Times New Roman"/>
          <w:sz w:val="24"/>
          <w:szCs w:val="24"/>
        </w:rPr>
        <w:t xml:space="preserve"> Iznos ostvarenih prihoda je manji u odnosu na isti period prethodne godine zato što je u veljači 2025. godine do kraja naplaćen dug po </w:t>
      </w:r>
      <w:r w:rsidRPr="00F378BA">
        <w:rPr>
          <w:rFonts w:ascii="Times New Roman" w:hAnsi="Times New Roman" w:cs="Times New Roman"/>
          <w:sz w:val="24"/>
          <w:szCs w:val="24"/>
        </w:rPr>
        <w:t>izvansudskoj nagodbi sa HŽ Cargo d.o.o.</w:t>
      </w:r>
    </w:p>
    <w:p w14:paraId="7732CC9F" w14:textId="77777777" w:rsidR="0069302A" w:rsidRPr="00D649D7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usluga, prihodi od donacija te povrati po protestiranim jamstvima </w:t>
      </w:r>
      <w:r w:rsidRPr="00D649D7">
        <w:rPr>
          <w:rFonts w:ascii="Times New Roman" w:hAnsi="Times New Roman" w:cs="Times New Roman"/>
          <w:b/>
          <w:sz w:val="24"/>
          <w:szCs w:val="24"/>
        </w:rPr>
        <w:t>(66)</w:t>
      </w:r>
    </w:p>
    <w:p w14:paraId="72E0FA00" w14:textId="77777777" w:rsidR="00064C4E" w:rsidRDefault="00064C4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BE3D726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EC19E1A" w14:textId="77777777" w:rsidR="0069302A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nadležnog proračuna i od HZZO-a na temelju ugovornih obveza </w:t>
      </w:r>
      <w:r w:rsidRPr="00D649D7">
        <w:rPr>
          <w:rFonts w:ascii="Times New Roman" w:hAnsi="Times New Roman" w:cs="Times New Roman"/>
          <w:b/>
          <w:sz w:val="24"/>
          <w:szCs w:val="24"/>
        </w:rPr>
        <w:t>(67)</w:t>
      </w:r>
    </w:p>
    <w:p w14:paraId="54DB285B" w14:textId="4D94851E" w:rsidR="00064C4E" w:rsidRDefault="005C2E8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871298">
        <w:rPr>
          <w:rFonts w:ascii="Times New Roman" w:hAnsi="Times New Roman" w:cs="Times New Roman"/>
          <w:sz w:val="24"/>
          <w:szCs w:val="24"/>
        </w:rPr>
        <w:t>Naplaćeni prihodi iz državnog proračuna za financiranje redovite djelatnosti proračunskih korisnika čine prihodi za financiranje rashoda poslovanja, kamata po primljenim dugoročnim kreditima, rashoda za održavanje lučkog područja i rashoda na projektima izgradnje i nadogradnje infrastrukture u lučkom području</w:t>
      </w:r>
      <w:r>
        <w:rPr>
          <w:rFonts w:ascii="Times New Roman" w:hAnsi="Times New Roman" w:cs="Times New Roman"/>
          <w:sz w:val="24"/>
          <w:szCs w:val="24"/>
        </w:rPr>
        <w:t>. Zbog znatno</w:t>
      </w:r>
      <w:r w:rsidR="009671E1">
        <w:rPr>
          <w:rFonts w:ascii="Times New Roman" w:hAnsi="Times New Roman" w:cs="Times New Roman"/>
          <w:sz w:val="24"/>
          <w:szCs w:val="24"/>
        </w:rPr>
        <w:t xml:space="preserve"> veće</w:t>
      </w:r>
      <w:r>
        <w:rPr>
          <w:rFonts w:ascii="Times New Roman" w:hAnsi="Times New Roman" w:cs="Times New Roman"/>
          <w:sz w:val="24"/>
          <w:szCs w:val="24"/>
        </w:rPr>
        <w:t xml:space="preserve"> realizacije u odnosu na isti period prethodne godine, </w:t>
      </w:r>
      <w:r w:rsidR="009671E1">
        <w:rPr>
          <w:rFonts w:ascii="Times New Roman" w:hAnsi="Times New Roman" w:cs="Times New Roman"/>
          <w:sz w:val="24"/>
          <w:szCs w:val="24"/>
        </w:rPr>
        <w:t>već</w:t>
      </w:r>
      <w:r>
        <w:rPr>
          <w:rFonts w:ascii="Times New Roman" w:hAnsi="Times New Roman" w:cs="Times New Roman"/>
          <w:sz w:val="24"/>
          <w:szCs w:val="24"/>
        </w:rPr>
        <w:t>i je i iznos prihoda ostvarenih za nabavu nefinancijske imovine</w:t>
      </w:r>
      <w:r w:rsidR="009671E1">
        <w:rPr>
          <w:rFonts w:ascii="Times New Roman" w:hAnsi="Times New Roman" w:cs="Times New Roman"/>
          <w:sz w:val="24"/>
          <w:szCs w:val="24"/>
        </w:rPr>
        <w:t>.</w:t>
      </w:r>
    </w:p>
    <w:p w14:paraId="4C6F3354" w14:textId="16110983" w:rsidR="009671E1" w:rsidRDefault="009671E1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Prihodi iz nadležnog proračuna za financiranje izdataka za financijsku imovinu i otplatu zajmova u iznosu 4,03 € odnose se na usklađenje sa Zagrebačkom bankom d.d.</w:t>
      </w:r>
    </w:p>
    <w:p w14:paraId="76A80DE3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829ADB6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Kazne, upravne mjere i ostali prihodi </w:t>
      </w:r>
      <w:r w:rsidRPr="00D649D7">
        <w:rPr>
          <w:rFonts w:ascii="Times New Roman" w:hAnsi="Times New Roman" w:cs="Times New Roman"/>
          <w:b/>
          <w:sz w:val="24"/>
          <w:szCs w:val="24"/>
        </w:rPr>
        <w:t>(68)</w:t>
      </w:r>
    </w:p>
    <w:p w14:paraId="61F9D67D" w14:textId="77777777" w:rsidR="00036DE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8A65C2A" w14:textId="77777777" w:rsidR="00036DEE" w:rsidRPr="00036DE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12AA089" w14:textId="77777777" w:rsidR="00680392" w:rsidRDefault="00680392" w:rsidP="00680392">
      <w:pPr>
        <w:pStyle w:val="Odlomakpopisa"/>
        <w:ind w:left="420"/>
        <w:rPr>
          <w:rFonts w:ascii="Times New Roman" w:hAnsi="Times New Roman" w:cs="Times New Roman"/>
          <w:sz w:val="24"/>
          <w:szCs w:val="24"/>
        </w:rPr>
      </w:pPr>
    </w:p>
    <w:p w14:paraId="4B5D631D" w14:textId="77777777" w:rsidR="000D58E1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nefinancijske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(7)</w:t>
      </w:r>
    </w:p>
    <w:p w14:paraId="58B023FA" w14:textId="77777777" w:rsidR="00064C4E" w:rsidRDefault="00064C4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86122DB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183211F" w14:textId="77777777" w:rsidR="001D4818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(71)</w:t>
      </w:r>
    </w:p>
    <w:p w14:paraId="5E9A7BF3" w14:textId="77777777" w:rsidR="00064C4E" w:rsidRDefault="00064C4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7920360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7985B81" w14:textId="77777777" w:rsidR="001D4818" w:rsidRPr="00D649D7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(72)</w:t>
      </w:r>
    </w:p>
    <w:p w14:paraId="5AFB57B3" w14:textId="77777777" w:rsidR="00064C4E" w:rsidRDefault="00064C4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760672F" w14:textId="77777777" w:rsidR="004F6DF2" w:rsidRPr="00064C4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8636B43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Primici od zaduživanja </w:t>
      </w:r>
      <w:r w:rsidRPr="00D649D7">
        <w:rPr>
          <w:rFonts w:ascii="Times New Roman" w:hAnsi="Times New Roman" w:cs="Times New Roman"/>
          <w:b/>
          <w:sz w:val="24"/>
          <w:szCs w:val="24"/>
        </w:rPr>
        <w:t>(84)</w:t>
      </w:r>
    </w:p>
    <w:p w14:paraId="2916C67A" w14:textId="77777777" w:rsidR="006A7AD0" w:rsidRDefault="006A7AD0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9C907B1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038F52E" w14:textId="77777777" w:rsidR="00680392" w:rsidRDefault="00680392" w:rsidP="00036DEE">
      <w:pPr>
        <w:pStyle w:val="Naslov2"/>
      </w:pPr>
    </w:p>
    <w:p w14:paraId="0422C46D" w14:textId="77777777" w:rsidR="000D58E1" w:rsidRDefault="006A7AD0" w:rsidP="00036DEE">
      <w:pPr>
        <w:pStyle w:val="Naslov2"/>
      </w:pPr>
      <w:bookmarkStart w:id="2" w:name="_Toc135657523"/>
      <w:r w:rsidRPr="00614260">
        <w:t>R</w:t>
      </w:r>
      <w:r w:rsidR="00036DEE">
        <w:t xml:space="preserve"> </w:t>
      </w:r>
      <w:r w:rsidRPr="00614260">
        <w:t>A</w:t>
      </w:r>
      <w:r w:rsidR="00036DEE">
        <w:t xml:space="preserve"> </w:t>
      </w:r>
      <w:r w:rsidRPr="00614260">
        <w:t>S</w:t>
      </w:r>
      <w:r w:rsidR="00036DEE">
        <w:t xml:space="preserve"> </w:t>
      </w:r>
      <w:r w:rsidRPr="00614260">
        <w:t>H</w:t>
      </w:r>
      <w:r w:rsidR="00036DEE">
        <w:t xml:space="preserve"> </w:t>
      </w:r>
      <w:r w:rsidRPr="00614260">
        <w:t>O</w:t>
      </w:r>
      <w:r w:rsidR="00036DEE">
        <w:t xml:space="preserve"> </w:t>
      </w:r>
      <w:r w:rsidRPr="00614260">
        <w:t>D</w:t>
      </w:r>
      <w:r w:rsidR="00036DEE">
        <w:t xml:space="preserve"> </w:t>
      </w:r>
      <w:r w:rsidRPr="00614260">
        <w:t>I</w:t>
      </w:r>
      <w:bookmarkEnd w:id="2"/>
    </w:p>
    <w:p w14:paraId="44D62D7D" w14:textId="77777777" w:rsidR="00036DEE" w:rsidRPr="00036DEE" w:rsidRDefault="00036DEE" w:rsidP="00036DEE"/>
    <w:p w14:paraId="679BEE79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Pr="00D649D7">
        <w:rPr>
          <w:rFonts w:ascii="Times New Roman" w:hAnsi="Times New Roman" w:cs="Times New Roman"/>
          <w:b/>
          <w:sz w:val="24"/>
          <w:szCs w:val="24"/>
        </w:rPr>
        <w:t>(31)</w:t>
      </w:r>
    </w:p>
    <w:p w14:paraId="1ABB1ACC" w14:textId="7641358B" w:rsidR="004F6DF2" w:rsidRPr="004F6DF2" w:rsidRDefault="00954E13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41E50">
        <w:rPr>
          <w:rFonts w:ascii="Times New Roman" w:hAnsi="Times New Roman" w:cs="Times New Roman"/>
          <w:sz w:val="24"/>
          <w:szCs w:val="24"/>
        </w:rPr>
        <w:t xml:space="preserve">Rashode za zaposlene čine plaće za </w:t>
      </w:r>
      <w:r>
        <w:rPr>
          <w:rFonts w:ascii="Times New Roman" w:hAnsi="Times New Roman" w:cs="Times New Roman"/>
          <w:sz w:val="24"/>
          <w:szCs w:val="24"/>
        </w:rPr>
        <w:t>osam</w:t>
      </w:r>
      <w:r w:rsidRPr="00641E50">
        <w:rPr>
          <w:rFonts w:ascii="Times New Roman" w:hAnsi="Times New Roman" w:cs="Times New Roman"/>
          <w:sz w:val="24"/>
          <w:szCs w:val="24"/>
        </w:rPr>
        <w:t xml:space="preserve"> zaposlenih sukladno propisima za plaće u javnim službama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641E50">
        <w:rPr>
          <w:rFonts w:ascii="Times New Roman" w:hAnsi="Times New Roman" w:cs="Times New Roman"/>
          <w:sz w:val="24"/>
          <w:szCs w:val="24"/>
        </w:rPr>
        <w:t xml:space="preserve"> doprinos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41E50">
        <w:rPr>
          <w:rFonts w:ascii="Times New Roman" w:hAnsi="Times New Roman" w:cs="Times New Roman"/>
          <w:sz w:val="24"/>
          <w:szCs w:val="24"/>
        </w:rPr>
        <w:t xml:space="preserve"> na plaću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FFD376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(32)</w:t>
      </w:r>
    </w:p>
    <w:p w14:paraId="54614EF9" w14:textId="4CB55E9C" w:rsidR="004F6DF2" w:rsidRDefault="00954E13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41E50">
        <w:rPr>
          <w:rFonts w:ascii="Times New Roman" w:hAnsi="Times New Roman" w:cs="Times New Roman"/>
          <w:sz w:val="24"/>
          <w:szCs w:val="24"/>
        </w:rPr>
        <w:t>Materijalne rashode čine naknade troškova zaposlenima za troškove prijevoza na posao i s posla u visini cijene javnog prijevoza, službena putovanja (dnevnice</w:t>
      </w:r>
      <w:r>
        <w:rPr>
          <w:rFonts w:ascii="Times New Roman" w:hAnsi="Times New Roman" w:cs="Times New Roman"/>
          <w:sz w:val="24"/>
          <w:szCs w:val="24"/>
        </w:rPr>
        <w:t xml:space="preserve"> i ostali troškovi</w:t>
      </w:r>
      <w:r w:rsidRPr="00641E50">
        <w:rPr>
          <w:rFonts w:ascii="Times New Roman" w:hAnsi="Times New Roman" w:cs="Times New Roman"/>
          <w:sz w:val="24"/>
          <w:szCs w:val="24"/>
        </w:rPr>
        <w:t>), stručno usavršavanje zaposlenih, naknada za troškove prehrane, rashodi za materijal i energiju (uredski materijal, električna energija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641E50">
        <w:rPr>
          <w:rFonts w:ascii="Times New Roman" w:hAnsi="Times New Roman" w:cs="Times New Roman"/>
          <w:sz w:val="24"/>
          <w:szCs w:val="24"/>
        </w:rPr>
        <w:t xml:space="preserve"> pogonsko gorivo). Rashodi za usluge su rashodi za usluge  telefona, pošte, tekućeg i investicijskog održavanja, usluge promidžbe i informiranja, komunalne usluge, računarne usluge, intelektualne usluge i ostale nespomenute usluge. Ostale nespomenuti rashode poslovanja čine: naknade za rad Upravnog vijeća, premije osiguranja, reprezentacija</w:t>
      </w:r>
      <w:r w:rsidR="002F2ED9">
        <w:rPr>
          <w:rFonts w:ascii="Times New Roman" w:hAnsi="Times New Roman" w:cs="Times New Roman"/>
          <w:sz w:val="24"/>
          <w:szCs w:val="24"/>
        </w:rPr>
        <w:t xml:space="preserve"> i</w:t>
      </w:r>
      <w:r w:rsidRPr="00641E50">
        <w:rPr>
          <w:rFonts w:ascii="Times New Roman" w:hAnsi="Times New Roman" w:cs="Times New Roman"/>
          <w:sz w:val="24"/>
          <w:szCs w:val="24"/>
        </w:rPr>
        <w:t xml:space="preserve"> članarine</w:t>
      </w:r>
      <w:r w:rsidR="002F2ED9">
        <w:rPr>
          <w:rFonts w:ascii="Times New Roman" w:hAnsi="Times New Roman" w:cs="Times New Roman"/>
          <w:sz w:val="24"/>
          <w:szCs w:val="24"/>
        </w:rPr>
        <w:t>.</w:t>
      </w:r>
    </w:p>
    <w:p w14:paraId="1BA6A846" w14:textId="77777777" w:rsidR="002F2ED9" w:rsidRPr="004F6DF2" w:rsidRDefault="002F2ED9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41F8D09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Financijski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(34)</w:t>
      </w:r>
    </w:p>
    <w:p w14:paraId="39725F4C" w14:textId="49397679" w:rsidR="00036DEE" w:rsidRDefault="002F2ED9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2F2ED9">
        <w:rPr>
          <w:rFonts w:ascii="Times New Roman" w:hAnsi="Times New Roman" w:cs="Times New Roman"/>
          <w:sz w:val="24"/>
          <w:szCs w:val="24"/>
        </w:rPr>
        <w:t>Financijske rashode čine obračunate kamate po iskorištenim kreditima (ZABA 5.043.466,72 Eura i kredit  HBOR-a 10.617.824,67 Eura) i provizija za izdano jamstvo po kreditu  HBOR-a  po stopi 0,5% za garantirani iznos  u vrijeme počeka otplate koja iznosi 53.089,12 Eura godišnje.</w:t>
      </w:r>
    </w:p>
    <w:p w14:paraId="73BEB5F5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6575F8D" w14:textId="77777777" w:rsidR="000D58E1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Subvencije </w:t>
      </w:r>
      <w:r w:rsidRPr="00D649D7">
        <w:rPr>
          <w:rFonts w:ascii="Times New Roman" w:hAnsi="Times New Roman" w:cs="Times New Roman"/>
          <w:b/>
          <w:sz w:val="24"/>
          <w:szCs w:val="24"/>
        </w:rPr>
        <w:t>(35)</w:t>
      </w:r>
    </w:p>
    <w:p w14:paraId="10F9A5A1" w14:textId="77777777" w:rsidR="00036DEE" w:rsidRDefault="00036DE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453B946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AF79D94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dane u inozemstvo i unutar općeg proračuna </w:t>
      </w:r>
      <w:r w:rsidRPr="00D649D7">
        <w:rPr>
          <w:rFonts w:ascii="Times New Roman" w:hAnsi="Times New Roman" w:cs="Times New Roman"/>
          <w:b/>
          <w:sz w:val="24"/>
          <w:szCs w:val="24"/>
        </w:rPr>
        <w:t>(36)</w:t>
      </w:r>
    </w:p>
    <w:p w14:paraId="786506DC" w14:textId="77777777" w:rsidR="00036DEE" w:rsidRDefault="00036DEE" w:rsidP="00680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6C52CCB" w14:textId="77777777" w:rsidR="00680392" w:rsidRPr="00036DEE" w:rsidRDefault="00680392" w:rsidP="00680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5543FC9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</w:t>
      </w:r>
      <w:r w:rsidRPr="00D649D7">
        <w:rPr>
          <w:rFonts w:ascii="Times New Roman" w:hAnsi="Times New Roman" w:cs="Times New Roman"/>
          <w:b/>
          <w:sz w:val="24"/>
          <w:szCs w:val="24"/>
        </w:rPr>
        <w:t>(37)</w:t>
      </w:r>
    </w:p>
    <w:p w14:paraId="6C1FEC44" w14:textId="77777777" w:rsidR="00036DEE" w:rsidRDefault="00036DE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FB7DC46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B8A2EBC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(38)</w:t>
      </w:r>
    </w:p>
    <w:p w14:paraId="2F2FE32D" w14:textId="77777777" w:rsidR="00036DEE" w:rsidRDefault="00036DE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B2AF902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A9F9C64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neproizvedene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(41)</w:t>
      </w:r>
    </w:p>
    <w:p w14:paraId="783F79EC" w14:textId="77777777" w:rsidR="00036DEE" w:rsidRDefault="00036DE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6354B85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59EFFAA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(42)</w:t>
      </w:r>
    </w:p>
    <w:p w14:paraId="31394A28" w14:textId="77777777" w:rsidR="002F2ED9" w:rsidRDefault="002F2ED9" w:rsidP="002F2ED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2B5067">
        <w:rPr>
          <w:rFonts w:ascii="Times New Roman" w:hAnsi="Times New Roman" w:cs="Times New Roman"/>
          <w:sz w:val="24"/>
          <w:szCs w:val="24"/>
        </w:rPr>
        <w:t xml:space="preserve">Rashode za nabavu proizvedene dugotrajne imovine čine rashodi za projekte </w:t>
      </w:r>
      <w:r>
        <w:rPr>
          <w:rFonts w:ascii="Times New Roman" w:hAnsi="Times New Roman" w:cs="Times New Roman"/>
          <w:sz w:val="24"/>
          <w:szCs w:val="24"/>
        </w:rPr>
        <w:t>koje LUSB realizira u skladu sa svojim financijskim planom i operativnim programima.</w:t>
      </w:r>
    </w:p>
    <w:p w14:paraId="2FC2E823" w14:textId="10B8FB05" w:rsidR="00036DEE" w:rsidRDefault="00D84C3B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 znatno veći u odnosu na isti period prethodne godine zbog veće realizacije koja se odnosi na izgradnju infrastrukture u luci Slavonski Brod. Zbog dotrajalosti računalne opreme izvršena je nabava nove opreme koja će moći podržati zahtjeve novih operativnih sustava.</w:t>
      </w:r>
    </w:p>
    <w:p w14:paraId="63505636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C084B1B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dodatna ulaganja na nefinancijskoj imovini </w:t>
      </w:r>
      <w:r w:rsidRPr="00D649D7">
        <w:rPr>
          <w:rFonts w:ascii="Times New Roman" w:hAnsi="Times New Roman" w:cs="Times New Roman"/>
          <w:b/>
          <w:sz w:val="24"/>
          <w:szCs w:val="24"/>
        </w:rPr>
        <w:t>(45)</w:t>
      </w:r>
    </w:p>
    <w:p w14:paraId="05361D75" w14:textId="77777777" w:rsidR="00036DEE" w:rsidRDefault="00036DE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814D265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1D82BB5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dane zajmove i depozite </w:t>
      </w:r>
      <w:r w:rsidRPr="00D649D7">
        <w:rPr>
          <w:rFonts w:ascii="Times New Roman" w:hAnsi="Times New Roman" w:cs="Times New Roman"/>
          <w:b/>
          <w:sz w:val="24"/>
          <w:szCs w:val="24"/>
        </w:rPr>
        <w:t>(51)</w:t>
      </w:r>
    </w:p>
    <w:p w14:paraId="09F9B8CD" w14:textId="77777777" w:rsidR="00D84C3B" w:rsidRPr="00036DEE" w:rsidRDefault="00D84C3B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BE0B3BD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Izdaci za dionice i udjele u glavnici </w:t>
      </w:r>
      <w:r w:rsidRPr="00D649D7">
        <w:rPr>
          <w:rFonts w:ascii="Times New Roman" w:hAnsi="Times New Roman" w:cs="Times New Roman"/>
          <w:b/>
          <w:sz w:val="24"/>
          <w:szCs w:val="24"/>
        </w:rPr>
        <w:t>(53)</w:t>
      </w:r>
    </w:p>
    <w:p w14:paraId="565C4D80" w14:textId="77777777" w:rsidR="00036DEE" w:rsidRDefault="00036DE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E15FA4C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C300470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otplatu glavnice primljenih kredita i zajmova </w:t>
      </w:r>
      <w:r w:rsidRPr="00D649D7">
        <w:rPr>
          <w:rFonts w:ascii="Times New Roman" w:hAnsi="Times New Roman" w:cs="Times New Roman"/>
          <w:b/>
          <w:sz w:val="24"/>
          <w:szCs w:val="24"/>
        </w:rPr>
        <w:t>(54)</w:t>
      </w:r>
    </w:p>
    <w:p w14:paraId="7926F375" w14:textId="77777777" w:rsidR="000D58E1" w:rsidRDefault="000D58E1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656C73D" w14:textId="0EF360D9" w:rsidR="004F6DF2" w:rsidRDefault="00D84C3B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Izdaci se odnose na usklađenje sa Zagrebačkom bankom d.d.</w:t>
      </w:r>
    </w:p>
    <w:p w14:paraId="2A265331" w14:textId="77777777" w:rsidR="002D0CC0" w:rsidRDefault="002D0CC0" w:rsidP="00036DEE">
      <w:pPr>
        <w:pStyle w:val="Naslov1"/>
      </w:pPr>
      <w:bookmarkStart w:id="3" w:name="_Toc135657524"/>
    </w:p>
    <w:p w14:paraId="1B524516" w14:textId="77777777" w:rsidR="002D0CC0" w:rsidRDefault="002D0CC0" w:rsidP="002D0CC0"/>
    <w:p w14:paraId="3E311F01" w14:textId="77777777" w:rsidR="002D0CC0" w:rsidRDefault="002D0CC0" w:rsidP="002D0CC0"/>
    <w:p w14:paraId="7D7F442C" w14:textId="77777777" w:rsidR="002D0CC0" w:rsidRDefault="002D0CC0" w:rsidP="002D0CC0"/>
    <w:p w14:paraId="166751E2" w14:textId="77777777" w:rsidR="002D0CC0" w:rsidRPr="002D0CC0" w:rsidRDefault="002D0CC0" w:rsidP="002D0CC0"/>
    <w:p w14:paraId="14BD155C" w14:textId="77777777" w:rsidR="0069302A" w:rsidRPr="00614260" w:rsidRDefault="000D58E1" w:rsidP="00036DEE">
      <w:pPr>
        <w:pStyle w:val="Naslov1"/>
      </w:pPr>
      <w:r w:rsidRPr="00614260">
        <w:t>B I LJ E Š K E  U Z  O B R A Z A C  O B V E Z E</w:t>
      </w:r>
      <w:bookmarkEnd w:id="3"/>
    </w:p>
    <w:p w14:paraId="34E91E20" w14:textId="77777777" w:rsidR="00005934" w:rsidRDefault="00005934" w:rsidP="00005934">
      <w:pPr>
        <w:rPr>
          <w:rFonts w:ascii="Times New Roman" w:hAnsi="Times New Roman" w:cs="Times New Roman"/>
          <w:sz w:val="28"/>
          <w:szCs w:val="28"/>
        </w:rPr>
      </w:pPr>
    </w:p>
    <w:p w14:paraId="6E3571D6" w14:textId="77777777" w:rsidR="00005934" w:rsidRPr="00D649D7" w:rsidRDefault="00005934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5934">
        <w:rPr>
          <w:rFonts w:ascii="Times New Roman" w:hAnsi="Times New Roman" w:cs="Times New Roman"/>
          <w:sz w:val="24"/>
          <w:szCs w:val="24"/>
        </w:rPr>
        <w:t>Stanje obveza</w:t>
      </w:r>
      <w:r>
        <w:rPr>
          <w:rFonts w:ascii="Times New Roman" w:hAnsi="Times New Roman" w:cs="Times New Roman"/>
          <w:sz w:val="24"/>
          <w:szCs w:val="24"/>
        </w:rPr>
        <w:t xml:space="preserve">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(V006)</w:t>
      </w:r>
    </w:p>
    <w:p w14:paraId="135D1223" w14:textId="01F87EB3" w:rsidR="004F6DF2" w:rsidRDefault="00D84C3B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84C3B">
        <w:rPr>
          <w:rFonts w:ascii="Times New Roman" w:hAnsi="Times New Roman" w:cs="Times New Roman"/>
          <w:sz w:val="24"/>
          <w:szCs w:val="24"/>
        </w:rPr>
        <w:t xml:space="preserve">Stanje obveza na kraju izvještajnog razdoblja je </w:t>
      </w:r>
      <w:r>
        <w:rPr>
          <w:rFonts w:ascii="Times New Roman" w:hAnsi="Times New Roman" w:cs="Times New Roman"/>
          <w:sz w:val="24"/>
          <w:szCs w:val="24"/>
        </w:rPr>
        <w:t>14.500.278,46</w:t>
      </w:r>
      <w:r w:rsidRPr="00D84C3B">
        <w:rPr>
          <w:rFonts w:ascii="Times New Roman" w:hAnsi="Times New Roman" w:cs="Times New Roman"/>
          <w:sz w:val="24"/>
          <w:szCs w:val="24"/>
        </w:rPr>
        <w:t xml:space="preserve"> Eura i sve obveze su nedospjele</w:t>
      </w:r>
    </w:p>
    <w:p w14:paraId="748D71B3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14FC793" w14:textId="77777777" w:rsidR="00005934" w:rsidRPr="00D649D7" w:rsidRDefault="00005934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dospjelih obveza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(V007)</w:t>
      </w:r>
    </w:p>
    <w:p w14:paraId="1CA853CE" w14:textId="3AFC87E2" w:rsidR="004F6DF2" w:rsidRDefault="00D84C3B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Lučka uprava Slavonski Brod nema dospjelih obveza.</w:t>
      </w:r>
    </w:p>
    <w:p w14:paraId="00A3D3FE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80855B2" w14:textId="77777777" w:rsidR="00CC75C5" w:rsidRPr="00D649D7" w:rsidRDefault="00CC75C5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nedospjelih obveza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(V009)</w:t>
      </w:r>
    </w:p>
    <w:p w14:paraId="62CC5DC3" w14:textId="2A1EC300" w:rsidR="004F6DF2" w:rsidRDefault="004579C3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Nedospjele obveze na kraju izvještajnog razdoblja iznose 14.500.278,46 €. Obveze za rashode poslovanja odnose se na plaće zaposlenicima i naknade članovima Upravnog vijeća za ožujak koje se isplaćuju u travnju i ostale nedospjele rashode poslovanja. Obveze za nabavu nefinancijske imovine odnose se na </w:t>
      </w:r>
      <w:r w:rsidR="00935ADF">
        <w:rPr>
          <w:rFonts w:ascii="Times New Roman" w:hAnsi="Times New Roman" w:cs="Times New Roman"/>
          <w:sz w:val="24"/>
          <w:szCs w:val="24"/>
        </w:rPr>
        <w:t xml:space="preserve">nedospjele obveze prema izvođačima vezano za realizaciju projekata. Obveze za financijsku imovinu odnose se </w:t>
      </w:r>
      <w:r w:rsidR="0070167B">
        <w:rPr>
          <w:rFonts w:ascii="Times New Roman" w:hAnsi="Times New Roman" w:cs="Times New Roman"/>
          <w:sz w:val="24"/>
          <w:szCs w:val="24"/>
        </w:rPr>
        <w:t xml:space="preserve">na nedospjele obveze za </w:t>
      </w:r>
      <w:r w:rsidR="0070167B" w:rsidRPr="00C34692">
        <w:rPr>
          <w:rFonts w:ascii="Times New Roman" w:hAnsi="Times New Roman" w:cs="Times New Roman"/>
          <w:sz w:val="24"/>
          <w:szCs w:val="24"/>
        </w:rPr>
        <w:t>kredite ZABA</w:t>
      </w:r>
      <w:r w:rsidR="0070167B">
        <w:rPr>
          <w:rFonts w:ascii="Times New Roman" w:hAnsi="Times New Roman" w:cs="Times New Roman"/>
          <w:sz w:val="24"/>
          <w:szCs w:val="24"/>
        </w:rPr>
        <w:t>-e</w:t>
      </w:r>
      <w:r w:rsidR="0070167B" w:rsidRPr="00C34692">
        <w:rPr>
          <w:rFonts w:ascii="Times New Roman" w:hAnsi="Times New Roman" w:cs="Times New Roman"/>
          <w:sz w:val="24"/>
          <w:szCs w:val="24"/>
        </w:rPr>
        <w:t xml:space="preserve"> i HBOR</w:t>
      </w:r>
      <w:r w:rsidR="0070167B">
        <w:rPr>
          <w:rFonts w:ascii="Times New Roman" w:hAnsi="Times New Roman" w:cs="Times New Roman"/>
          <w:sz w:val="24"/>
          <w:szCs w:val="24"/>
        </w:rPr>
        <w:t>-a</w:t>
      </w:r>
      <w:r w:rsidR="00935A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5EDD9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0F2847D" w14:textId="77777777" w:rsidR="004F6DF2" w:rsidRPr="004F6DF2" w:rsidRDefault="004F6DF2" w:rsidP="004F6DF2">
      <w:pPr>
        <w:rPr>
          <w:rFonts w:ascii="Times New Roman" w:hAnsi="Times New Roman" w:cs="Times New Roman"/>
          <w:sz w:val="24"/>
          <w:szCs w:val="24"/>
        </w:rPr>
      </w:pPr>
    </w:p>
    <w:sectPr w:rsidR="004F6DF2" w:rsidRPr="004F6DF2" w:rsidSect="00A14679">
      <w:footerReference w:type="default" r:id="rId8"/>
      <w:pgSz w:w="11906" w:h="16838" w:code="9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1C38" w14:textId="77777777" w:rsidR="00EC58EA" w:rsidRDefault="00EC58EA" w:rsidP="00CC75C5">
      <w:pPr>
        <w:spacing w:after="0" w:line="240" w:lineRule="auto"/>
      </w:pPr>
      <w:r>
        <w:separator/>
      </w:r>
    </w:p>
  </w:endnote>
  <w:endnote w:type="continuationSeparator" w:id="0">
    <w:p w14:paraId="6A4D8E56" w14:textId="77777777" w:rsidR="00EC58EA" w:rsidRDefault="00EC58EA" w:rsidP="00CC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4872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2EBBE6" w14:textId="77777777" w:rsidR="00CC75C5" w:rsidRDefault="00CC75C5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5B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5BA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EB5047" w14:textId="77777777" w:rsidR="00CC75C5" w:rsidRDefault="00CC75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3A39" w14:textId="77777777" w:rsidR="00EC58EA" w:rsidRDefault="00EC58EA" w:rsidP="00CC75C5">
      <w:pPr>
        <w:spacing w:after="0" w:line="240" w:lineRule="auto"/>
      </w:pPr>
      <w:r>
        <w:separator/>
      </w:r>
    </w:p>
  </w:footnote>
  <w:footnote w:type="continuationSeparator" w:id="0">
    <w:p w14:paraId="5D5E124B" w14:textId="77777777" w:rsidR="00EC58EA" w:rsidRDefault="00EC58EA" w:rsidP="00CC7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3018"/>
    <w:multiLevelType w:val="hybridMultilevel"/>
    <w:tmpl w:val="A2066004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28637D"/>
    <w:multiLevelType w:val="hybridMultilevel"/>
    <w:tmpl w:val="0318263C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136249"/>
    <w:multiLevelType w:val="hybridMultilevel"/>
    <w:tmpl w:val="E90ABDEA"/>
    <w:lvl w:ilvl="0" w:tplc="323CAF2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0C8341B"/>
    <w:multiLevelType w:val="hybridMultilevel"/>
    <w:tmpl w:val="5C5818DC"/>
    <w:lvl w:ilvl="0" w:tplc="05AE21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16D83"/>
    <w:multiLevelType w:val="hybridMultilevel"/>
    <w:tmpl w:val="0ADA96EE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92383259">
    <w:abstractNumId w:val="2"/>
  </w:num>
  <w:num w:numId="2" w16cid:durableId="79639418">
    <w:abstractNumId w:val="4"/>
  </w:num>
  <w:num w:numId="3" w16cid:durableId="1466896589">
    <w:abstractNumId w:val="1"/>
  </w:num>
  <w:num w:numId="4" w16cid:durableId="900679615">
    <w:abstractNumId w:val="0"/>
  </w:num>
  <w:num w:numId="5" w16cid:durableId="1640500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21"/>
    <w:rsid w:val="00005934"/>
    <w:rsid w:val="00036DEE"/>
    <w:rsid w:val="00064C4E"/>
    <w:rsid w:val="000A0ED1"/>
    <w:rsid w:val="000C01F8"/>
    <w:rsid w:val="000D58E1"/>
    <w:rsid w:val="00170E21"/>
    <w:rsid w:val="001D4818"/>
    <w:rsid w:val="001D581A"/>
    <w:rsid w:val="002552E3"/>
    <w:rsid w:val="00257F28"/>
    <w:rsid w:val="002D0CC0"/>
    <w:rsid w:val="002F2ED9"/>
    <w:rsid w:val="003970FA"/>
    <w:rsid w:val="004517C4"/>
    <w:rsid w:val="004579C3"/>
    <w:rsid w:val="00464F13"/>
    <w:rsid w:val="004F6DF2"/>
    <w:rsid w:val="005C2E8E"/>
    <w:rsid w:val="00614260"/>
    <w:rsid w:val="00680392"/>
    <w:rsid w:val="0069302A"/>
    <w:rsid w:val="006A7AD0"/>
    <w:rsid w:val="0070167B"/>
    <w:rsid w:val="007344FB"/>
    <w:rsid w:val="00792FD9"/>
    <w:rsid w:val="007E53CC"/>
    <w:rsid w:val="008F44C9"/>
    <w:rsid w:val="00914103"/>
    <w:rsid w:val="00935ADF"/>
    <w:rsid w:val="00954E13"/>
    <w:rsid w:val="009671E1"/>
    <w:rsid w:val="009B5BAC"/>
    <w:rsid w:val="009B761F"/>
    <w:rsid w:val="009E1D75"/>
    <w:rsid w:val="00A14679"/>
    <w:rsid w:val="00B43FCD"/>
    <w:rsid w:val="00CA4C5A"/>
    <w:rsid w:val="00CA6283"/>
    <w:rsid w:val="00CC75C5"/>
    <w:rsid w:val="00D649D7"/>
    <w:rsid w:val="00D84C3B"/>
    <w:rsid w:val="00D91326"/>
    <w:rsid w:val="00E17893"/>
    <w:rsid w:val="00EC58EA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EE54"/>
  <w15:chartTrackingRefBased/>
  <w15:docId w15:val="{58D2AF19-71A6-4683-B21F-3F72745A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6DE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36DEE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0E2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C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5C5"/>
  </w:style>
  <w:style w:type="paragraph" w:styleId="Podnoje">
    <w:name w:val="footer"/>
    <w:basedOn w:val="Normal"/>
    <w:link w:val="PodnojeChar"/>
    <w:uiPriority w:val="99"/>
    <w:unhideWhenUsed/>
    <w:rsid w:val="00CC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5C5"/>
  </w:style>
  <w:style w:type="character" w:customStyle="1" w:styleId="Naslov1Char">
    <w:name w:val="Naslov 1 Char"/>
    <w:basedOn w:val="Zadanifontodlomka"/>
    <w:link w:val="Naslov1"/>
    <w:uiPriority w:val="9"/>
    <w:rsid w:val="00036DEE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36DEE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4F6DF2"/>
    <w:pPr>
      <w:jc w:val="left"/>
      <w:outlineLvl w:val="9"/>
    </w:pPr>
    <w:rPr>
      <w:rFonts w:asciiTheme="majorHAnsi" w:hAnsiTheme="majorHAnsi" w:cstheme="majorBidi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4F6DF2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F6DF2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4F6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0509-367C-4D61-8E44-AC94F668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Vrčak</dc:creator>
  <cp:keywords/>
  <dc:description/>
  <cp:lastModifiedBy>Lučka Uprava SB</cp:lastModifiedBy>
  <cp:revision>6</cp:revision>
  <cp:lastPrinted>2025-04-10T09:02:00Z</cp:lastPrinted>
  <dcterms:created xsi:type="dcterms:W3CDTF">2025-03-28T10:49:00Z</dcterms:created>
  <dcterms:modified xsi:type="dcterms:W3CDTF">2025-04-10T09:10:00Z</dcterms:modified>
</cp:coreProperties>
</file>